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1BE3D" w14:textId="77777777" w:rsidR="00AA4536" w:rsidRPr="00AB7354" w:rsidRDefault="00AA4536" w:rsidP="001B0C56">
      <w:pPr>
        <w:spacing w:after="0" w:line="240" w:lineRule="auto"/>
        <w:jc w:val="center"/>
        <w:rPr>
          <w:rFonts w:ascii="Century" w:eastAsia="Times New Roman" w:hAnsi="Century" w:cs="Tahoma"/>
          <w:b/>
          <w:sz w:val="24"/>
          <w:szCs w:val="24"/>
          <w:u w:val="single"/>
          <w:lang w:val="es-ES" w:eastAsia="es-ES"/>
        </w:rPr>
      </w:pPr>
    </w:p>
    <w:p w14:paraId="23FC13D0" w14:textId="77777777" w:rsidR="00122E83" w:rsidRPr="00AB7354" w:rsidRDefault="00AA4536" w:rsidP="001B0C56">
      <w:pPr>
        <w:spacing w:after="0" w:line="240" w:lineRule="auto"/>
        <w:jc w:val="center"/>
        <w:rPr>
          <w:rFonts w:ascii="Century" w:eastAsia="Times New Roman" w:hAnsi="Century" w:cs="Tahoma"/>
          <w:b/>
          <w:sz w:val="24"/>
          <w:szCs w:val="24"/>
          <w:u w:val="single"/>
          <w:lang w:val="es-ES" w:eastAsia="es-ES"/>
        </w:rPr>
      </w:pPr>
      <w:r w:rsidRPr="00AB7354">
        <w:rPr>
          <w:rFonts w:ascii="Century" w:eastAsia="Times New Roman" w:hAnsi="Century" w:cs="Tahoma"/>
          <w:b/>
          <w:sz w:val="24"/>
          <w:szCs w:val="24"/>
          <w:u w:val="single"/>
          <w:lang w:val="es-ES" w:eastAsia="es-ES"/>
        </w:rPr>
        <w:t xml:space="preserve">Ficha técnica y/o pliego de condiciones </w:t>
      </w:r>
    </w:p>
    <w:p w14:paraId="1890CA63" w14:textId="77777777" w:rsidR="00CF6DD1" w:rsidRPr="00AB7354" w:rsidRDefault="00CF6DD1" w:rsidP="001B0C56">
      <w:pPr>
        <w:spacing w:after="0" w:line="240" w:lineRule="auto"/>
        <w:jc w:val="center"/>
        <w:rPr>
          <w:rFonts w:ascii="Century" w:eastAsia="Times New Roman" w:hAnsi="Century" w:cs="Tahoma"/>
          <w:b/>
          <w:sz w:val="24"/>
          <w:szCs w:val="24"/>
          <w:u w:val="single"/>
          <w:lang w:val="es-ES" w:eastAsia="es-ES"/>
        </w:rPr>
      </w:pPr>
    </w:p>
    <w:p w14:paraId="05B0F7CF" w14:textId="330C5567" w:rsidR="00D25D90" w:rsidRDefault="00AA4536" w:rsidP="00AA4536">
      <w:p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El objetivo del presente documento es establecer el conjunto de cláusulas técnicas y administrativas, de naturaleza reglamentaria,</w:t>
      </w:r>
      <w:r w:rsidR="00A61462"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por el que se fijan los</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requisitos, exigencias, y obligaciones de las personas naturales o</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jurídicas, nacionales, que deseen participar en el proceso de compras, bajo la modalidad de Compra Menor, para la “Adquisición De Alimentos”, de acuerdo con las</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condiciones fijadas en la siguiente ficha técnica.</w:t>
      </w:r>
    </w:p>
    <w:p w14:paraId="7B3521B6" w14:textId="77777777" w:rsidR="007B00B4" w:rsidRDefault="007B00B4" w:rsidP="00AA4536">
      <w:pPr>
        <w:spacing w:after="0" w:line="240" w:lineRule="auto"/>
        <w:jc w:val="both"/>
        <w:rPr>
          <w:rFonts w:ascii="Century" w:eastAsia="Times New Roman" w:hAnsi="Century" w:cs="Tahoma"/>
          <w:bCs/>
          <w:sz w:val="24"/>
          <w:szCs w:val="24"/>
          <w:lang w:val="es-ES" w:eastAsia="es-ES"/>
        </w:rPr>
      </w:pPr>
    </w:p>
    <w:p w14:paraId="24E314C9" w14:textId="36A137D7" w:rsidR="007B00B4" w:rsidRDefault="007B00B4" w:rsidP="00AA4536">
      <w:pPr>
        <w:spacing w:after="0" w:line="240" w:lineRule="auto"/>
        <w:jc w:val="both"/>
        <w:rPr>
          <w:rFonts w:ascii="Century" w:eastAsia="Times New Roman" w:hAnsi="Century" w:cs="Tahoma"/>
          <w:bCs/>
          <w:sz w:val="24"/>
          <w:szCs w:val="24"/>
          <w:lang w:val="es-ES" w:eastAsia="es-ES"/>
        </w:rPr>
      </w:pPr>
    </w:p>
    <w:p w14:paraId="37BBE348" w14:textId="77777777" w:rsidR="007B00B4" w:rsidRPr="007B00B4" w:rsidRDefault="007B00B4" w:rsidP="007B00B4">
      <w:pPr>
        <w:spacing w:after="0" w:line="240" w:lineRule="auto"/>
        <w:jc w:val="both"/>
        <w:rPr>
          <w:rFonts w:ascii="Century" w:eastAsia="Times New Roman" w:hAnsi="Century" w:cs="Tahoma"/>
          <w:b/>
          <w:bCs/>
          <w:sz w:val="40"/>
          <w:szCs w:val="40"/>
          <w:lang w:val="es-419" w:eastAsia="es-ES"/>
        </w:rPr>
      </w:pPr>
      <w:r w:rsidRPr="007B00B4">
        <w:rPr>
          <w:rFonts w:ascii="Century" w:eastAsia="Times New Roman" w:hAnsi="Century" w:cs="Tahoma"/>
          <w:b/>
          <w:bCs/>
          <w:sz w:val="40"/>
          <w:szCs w:val="40"/>
          <w:lang w:val="es-419" w:eastAsia="es-ES"/>
        </w:rPr>
        <w:t>Fichas Técnica</w:t>
      </w:r>
    </w:p>
    <w:p w14:paraId="61E7FE42" w14:textId="1C120AF0" w:rsidR="007B00B4" w:rsidRDefault="007B00B4" w:rsidP="00AA4536">
      <w:pPr>
        <w:spacing w:after="0" w:line="240" w:lineRule="auto"/>
        <w:jc w:val="both"/>
        <w:rPr>
          <w:rFonts w:ascii="Century" w:eastAsia="Times New Roman" w:hAnsi="Century" w:cs="Tahoma"/>
          <w:bCs/>
          <w:sz w:val="24"/>
          <w:szCs w:val="24"/>
          <w:lang w:val="es-ES" w:eastAsia="es-ES"/>
        </w:rPr>
      </w:pPr>
    </w:p>
    <w:p w14:paraId="6D553BE8" w14:textId="77777777" w:rsidR="007B00B4" w:rsidRPr="007B00B4" w:rsidRDefault="007B00B4" w:rsidP="007B00B4">
      <w:pPr>
        <w:spacing w:after="0" w:line="240" w:lineRule="auto"/>
        <w:jc w:val="both"/>
        <w:rPr>
          <w:rFonts w:ascii="Century" w:eastAsia="Times New Roman" w:hAnsi="Century" w:cs="Tahoma"/>
          <w:b/>
          <w:bCs/>
          <w:sz w:val="24"/>
          <w:szCs w:val="24"/>
          <w:lang w:eastAsia="es-ES"/>
        </w:rPr>
      </w:pPr>
      <w:r w:rsidRPr="007B00B4">
        <w:rPr>
          <w:rFonts w:ascii="Century" w:eastAsia="Times New Roman" w:hAnsi="Century" w:cs="Tahoma"/>
          <w:b/>
          <w:bCs/>
          <w:sz w:val="24"/>
          <w:szCs w:val="24"/>
          <w:lang w:eastAsia="es-ES"/>
        </w:rPr>
        <w:t>CEFEPIME 1GR Polvo para Solución Inyectable/ Vial</w:t>
      </w:r>
    </w:p>
    <w:p w14:paraId="79E81D00" w14:textId="77777777" w:rsidR="007B00B4" w:rsidRPr="007B00B4" w:rsidRDefault="007B00B4" w:rsidP="007B00B4">
      <w:pPr>
        <w:spacing w:after="0" w:line="240" w:lineRule="auto"/>
        <w:jc w:val="both"/>
        <w:rPr>
          <w:rFonts w:ascii="Century" w:eastAsia="Times New Roman" w:hAnsi="Century" w:cs="Tahoma"/>
          <w:b/>
          <w:bCs/>
          <w:sz w:val="24"/>
          <w:szCs w:val="24"/>
          <w:lang w:eastAsia="es-ES"/>
        </w:rPr>
      </w:pPr>
    </w:p>
    <w:p w14:paraId="58AD9497"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proofErr w:type="spellStart"/>
      <w:r w:rsidRPr="007B00B4">
        <w:rPr>
          <w:rFonts w:ascii="Century" w:eastAsia="Times New Roman" w:hAnsi="Century" w:cs="Tahoma"/>
          <w:bCs/>
          <w:sz w:val="24"/>
          <w:szCs w:val="24"/>
          <w:lang w:eastAsia="es-ES"/>
        </w:rPr>
        <w:t>Cefepime</w:t>
      </w:r>
      <w:proofErr w:type="spellEnd"/>
      <w:r w:rsidRPr="007B00B4">
        <w:rPr>
          <w:rFonts w:ascii="Century" w:eastAsia="Times New Roman" w:hAnsi="Century" w:cs="Tahoma"/>
          <w:bCs/>
          <w:sz w:val="24"/>
          <w:szCs w:val="24"/>
          <w:lang w:eastAsia="es-ES"/>
        </w:rPr>
        <w:t xml:space="preserve"> Vial </w:t>
      </w:r>
    </w:p>
    <w:p w14:paraId="162A4DFC" w14:textId="77777777" w:rsidR="007B00B4" w:rsidRPr="007B00B4" w:rsidRDefault="007B00B4" w:rsidP="007B00B4">
      <w:pPr>
        <w:spacing w:after="0" w:line="240" w:lineRule="auto"/>
        <w:jc w:val="both"/>
        <w:rPr>
          <w:rFonts w:ascii="Century" w:eastAsia="Times New Roman" w:hAnsi="Century" w:cs="Tahoma"/>
          <w:bCs/>
          <w:vanish/>
          <w:sz w:val="24"/>
          <w:szCs w:val="24"/>
          <w:lang w:eastAsia="es-ES"/>
        </w:rPr>
      </w:pPr>
      <w:r w:rsidRPr="007B00B4">
        <w:rPr>
          <w:rFonts w:ascii="Century" w:eastAsia="Times New Roman" w:hAnsi="Century" w:cs="Tahoma"/>
          <w:bCs/>
          <w:vanish/>
          <w:sz w:val="24"/>
          <w:szCs w:val="24"/>
          <w:lang w:eastAsia="es-ES"/>
        </w:rPr>
        <w:t xml:space="preserve">0.00 </w:t>
      </w:r>
    </w:p>
    <w:p w14:paraId="6FFE69F3"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r w:rsidRPr="007B00B4">
        <w:rPr>
          <w:rFonts w:ascii="Century" w:eastAsia="Times New Roman" w:hAnsi="Century" w:cs="Tahoma"/>
          <w:b/>
          <w:bCs/>
          <w:sz w:val="24"/>
          <w:szCs w:val="24"/>
          <w:lang w:eastAsia="es-ES"/>
        </w:rPr>
        <w:t>PRESENTACION:</w:t>
      </w:r>
    </w:p>
    <w:p w14:paraId="0E339255"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r w:rsidRPr="007B00B4">
        <w:rPr>
          <w:rFonts w:ascii="Century" w:eastAsia="Times New Roman" w:hAnsi="Century" w:cs="Tahoma"/>
          <w:bCs/>
          <w:sz w:val="24"/>
          <w:szCs w:val="24"/>
          <w:lang w:eastAsia="es-ES"/>
        </w:rPr>
        <w:t xml:space="preserve">Caja con un vial que contiene 1 g + Ampolla con 10mL de agua estéril. </w:t>
      </w:r>
    </w:p>
    <w:p w14:paraId="6B816E83"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p>
    <w:p w14:paraId="5F799B2A"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r w:rsidRPr="007B00B4">
        <w:rPr>
          <w:rFonts w:ascii="Century" w:eastAsia="Times New Roman" w:hAnsi="Century" w:cs="Tahoma"/>
          <w:b/>
          <w:bCs/>
          <w:sz w:val="24"/>
          <w:szCs w:val="24"/>
          <w:lang w:eastAsia="es-ES"/>
        </w:rPr>
        <w:t>COMPOSICION:</w:t>
      </w:r>
    </w:p>
    <w:p w14:paraId="57427299"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r w:rsidRPr="007B00B4">
        <w:rPr>
          <w:rFonts w:ascii="Century" w:eastAsia="Times New Roman" w:hAnsi="Century" w:cs="Tahoma"/>
          <w:bCs/>
          <w:sz w:val="24"/>
          <w:szCs w:val="24"/>
          <w:lang w:eastAsia="es-ES"/>
        </w:rPr>
        <w:t>Cada vial contiene:</w:t>
      </w:r>
    </w:p>
    <w:p w14:paraId="2B333758"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r w:rsidRPr="007B00B4">
        <w:rPr>
          <w:rFonts w:ascii="Century" w:eastAsia="Times New Roman" w:hAnsi="Century" w:cs="Tahoma"/>
          <w:bCs/>
          <w:sz w:val="24"/>
          <w:szCs w:val="24"/>
          <w:lang w:eastAsia="es-ES"/>
        </w:rPr>
        <w:t xml:space="preserve">Clorhidrato de </w:t>
      </w:r>
      <w:proofErr w:type="spellStart"/>
      <w:r w:rsidRPr="007B00B4">
        <w:rPr>
          <w:rFonts w:ascii="Century" w:eastAsia="Times New Roman" w:hAnsi="Century" w:cs="Tahoma"/>
          <w:bCs/>
          <w:sz w:val="24"/>
          <w:szCs w:val="24"/>
          <w:lang w:eastAsia="es-ES"/>
        </w:rPr>
        <w:t>Cefepime</w:t>
      </w:r>
      <w:proofErr w:type="spellEnd"/>
      <w:r w:rsidRPr="007B00B4">
        <w:rPr>
          <w:rFonts w:ascii="Century" w:eastAsia="Times New Roman" w:hAnsi="Century" w:cs="Tahoma"/>
          <w:bCs/>
          <w:sz w:val="24"/>
          <w:szCs w:val="24"/>
          <w:lang w:eastAsia="es-ES"/>
        </w:rPr>
        <w:t xml:space="preserve"> USP Estéril equivalente a </w:t>
      </w:r>
    </w:p>
    <w:p w14:paraId="66DEE3B0"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proofErr w:type="spellStart"/>
      <w:r w:rsidRPr="007B00B4">
        <w:rPr>
          <w:rFonts w:ascii="Century" w:eastAsia="Times New Roman" w:hAnsi="Century" w:cs="Tahoma"/>
          <w:bCs/>
          <w:sz w:val="24"/>
          <w:szCs w:val="24"/>
          <w:lang w:eastAsia="es-ES"/>
        </w:rPr>
        <w:t>Cefepime</w:t>
      </w:r>
      <w:proofErr w:type="spellEnd"/>
      <w:r w:rsidRPr="007B00B4">
        <w:rPr>
          <w:rFonts w:ascii="Century" w:eastAsia="Times New Roman" w:hAnsi="Century" w:cs="Tahoma"/>
          <w:bCs/>
          <w:sz w:val="24"/>
          <w:szCs w:val="24"/>
          <w:lang w:eastAsia="es-ES"/>
        </w:rPr>
        <w:t>                   1 g.</w:t>
      </w:r>
    </w:p>
    <w:p w14:paraId="0FD1C409"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r w:rsidRPr="007B00B4">
        <w:rPr>
          <w:rFonts w:ascii="Century" w:eastAsia="Times New Roman" w:hAnsi="Century" w:cs="Tahoma"/>
          <w:bCs/>
          <w:sz w:val="24"/>
          <w:szCs w:val="24"/>
          <w:lang w:eastAsia="es-ES"/>
        </w:rPr>
        <w:t>L-Arginina Estéril      0.8343 g.     </w:t>
      </w:r>
    </w:p>
    <w:p w14:paraId="7D5A52BA"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r w:rsidRPr="007B00B4">
        <w:rPr>
          <w:rFonts w:ascii="Century" w:eastAsia="Times New Roman" w:hAnsi="Century" w:cs="Tahoma"/>
          <w:bCs/>
          <w:sz w:val="24"/>
          <w:szCs w:val="24"/>
          <w:lang w:eastAsia="es-ES"/>
        </w:rPr>
        <w:t xml:space="preserve">                                 </w:t>
      </w:r>
    </w:p>
    <w:p w14:paraId="0D249206"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r w:rsidRPr="007B00B4">
        <w:rPr>
          <w:rFonts w:ascii="Century" w:eastAsia="Times New Roman" w:hAnsi="Century" w:cs="Tahoma"/>
          <w:b/>
          <w:bCs/>
          <w:sz w:val="24"/>
          <w:szCs w:val="24"/>
          <w:lang w:eastAsia="es-ES"/>
        </w:rPr>
        <w:t>ADMINISTRACION</w:t>
      </w:r>
      <w:r w:rsidRPr="007B00B4">
        <w:rPr>
          <w:rFonts w:ascii="Century" w:eastAsia="Times New Roman" w:hAnsi="Century" w:cs="Tahoma"/>
          <w:bCs/>
          <w:sz w:val="24"/>
          <w:szCs w:val="24"/>
          <w:lang w:eastAsia="es-ES"/>
        </w:rPr>
        <w:t xml:space="preserve">: I.V / I.M. </w:t>
      </w:r>
    </w:p>
    <w:p w14:paraId="4F02ABBF" w14:textId="77777777" w:rsidR="007B00B4" w:rsidRPr="007B00B4" w:rsidRDefault="007B00B4" w:rsidP="007B00B4">
      <w:pPr>
        <w:spacing w:after="0" w:line="240" w:lineRule="auto"/>
        <w:jc w:val="both"/>
        <w:rPr>
          <w:rFonts w:ascii="Century" w:eastAsia="Times New Roman" w:hAnsi="Century" w:cs="Tahoma"/>
          <w:b/>
          <w:bCs/>
          <w:sz w:val="24"/>
          <w:szCs w:val="24"/>
          <w:lang w:eastAsia="es-ES"/>
        </w:rPr>
      </w:pPr>
      <w:r w:rsidRPr="007B00B4">
        <w:rPr>
          <w:rFonts w:ascii="Century" w:eastAsia="Times New Roman" w:hAnsi="Century" w:cs="Tahoma"/>
          <w:b/>
          <w:bCs/>
          <w:sz w:val="24"/>
          <w:szCs w:val="24"/>
          <w:lang w:eastAsia="es-ES"/>
        </w:rPr>
        <w:t>Uso:</w:t>
      </w:r>
    </w:p>
    <w:p w14:paraId="3483A7BD" w14:textId="06DB2497" w:rsidR="007B00B4" w:rsidRDefault="007B00B4" w:rsidP="007B00B4">
      <w:pPr>
        <w:spacing w:after="0" w:line="240" w:lineRule="auto"/>
        <w:jc w:val="both"/>
        <w:rPr>
          <w:rFonts w:ascii="Century" w:eastAsia="Times New Roman" w:hAnsi="Century" w:cs="Tahoma"/>
          <w:bCs/>
          <w:sz w:val="24"/>
          <w:szCs w:val="24"/>
          <w:lang w:val="es-ES" w:eastAsia="es-ES"/>
        </w:rPr>
      </w:pPr>
      <w:r w:rsidRPr="007B00B4">
        <w:rPr>
          <w:rFonts w:ascii="Century" w:eastAsia="Times New Roman" w:hAnsi="Century" w:cs="Tahoma"/>
          <w:bCs/>
          <w:sz w:val="24"/>
          <w:szCs w:val="24"/>
          <w:lang w:val="es-ES" w:eastAsia="es-ES"/>
        </w:rPr>
        <w:t xml:space="preserve">La inyección de </w:t>
      </w:r>
      <w:proofErr w:type="spellStart"/>
      <w:r w:rsidRPr="007B00B4">
        <w:rPr>
          <w:rFonts w:ascii="Century" w:eastAsia="Times New Roman" w:hAnsi="Century" w:cs="Tahoma"/>
          <w:bCs/>
          <w:sz w:val="24"/>
          <w:szCs w:val="24"/>
          <w:lang w:val="es-ES" w:eastAsia="es-ES"/>
        </w:rPr>
        <w:t>cefepime</w:t>
      </w:r>
      <w:proofErr w:type="spellEnd"/>
      <w:r w:rsidRPr="007B00B4">
        <w:rPr>
          <w:rFonts w:ascii="Century" w:eastAsia="Times New Roman" w:hAnsi="Century" w:cs="Tahoma"/>
          <w:bCs/>
          <w:sz w:val="24"/>
          <w:szCs w:val="24"/>
          <w:lang w:val="es-ES" w:eastAsia="es-ES"/>
        </w:rPr>
        <w:t xml:space="preserve"> se utiliza para tratar ciertas infecciones ocasionadas por bacterias, incluso la neumonía, e infecciones de la piel, tracto urinario, y renales. La inyección de </w:t>
      </w:r>
      <w:proofErr w:type="spellStart"/>
      <w:r w:rsidRPr="007B00B4">
        <w:rPr>
          <w:rFonts w:ascii="Century" w:eastAsia="Times New Roman" w:hAnsi="Century" w:cs="Tahoma"/>
          <w:bCs/>
          <w:sz w:val="24"/>
          <w:szCs w:val="24"/>
          <w:lang w:val="es-ES" w:eastAsia="es-ES"/>
        </w:rPr>
        <w:t>cefepime</w:t>
      </w:r>
      <w:proofErr w:type="spellEnd"/>
      <w:r w:rsidRPr="007B00B4">
        <w:rPr>
          <w:rFonts w:ascii="Century" w:eastAsia="Times New Roman" w:hAnsi="Century" w:cs="Tahoma"/>
          <w:bCs/>
          <w:sz w:val="24"/>
          <w:szCs w:val="24"/>
          <w:lang w:val="es-ES" w:eastAsia="es-ES"/>
        </w:rPr>
        <w:t xml:space="preserve"> se usa en combinación con metronidazol para tratar infecciones abdominales (área del estómago). La inyección de </w:t>
      </w:r>
      <w:proofErr w:type="spellStart"/>
      <w:r w:rsidRPr="007B00B4">
        <w:rPr>
          <w:rFonts w:ascii="Century" w:eastAsia="Times New Roman" w:hAnsi="Century" w:cs="Tahoma"/>
          <w:bCs/>
          <w:sz w:val="24"/>
          <w:szCs w:val="24"/>
          <w:lang w:val="es-ES" w:eastAsia="es-ES"/>
        </w:rPr>
        <w:t>cefepime</w:t>
      </w:r>
      <w:proofErr w:type="spellEnd"/>
      <w:r w:rsidRPr="007B00B4">
        <w:rPr>
          <w:rFonts w:ascii="Century" w:eastAsia="Times New Roman" w:hAnsi="Century" w:cs="Tahoma"/>
          <w:bCs/>
          <w:sz w:val="24"/>
          <w:szCs w:val="24"/>
          <w:lang w:val="es-ES" w:eastAsia="es-ES"/>
        </w:rPr>
        <w:t xml:space="preserve"> también se usa para tratar a pacientes que han tenido fiebre y están en alto riesgo de una infección debido a que tienen un bajo número de glóbulos blancos. La inyección de </w:t>
      </w:r>
      <w:proofErr w:type="spellStart"/>
      <w:r w:rsidRPr="007B00B4">
        <w:rPr>
          <w:rFonts w:ascii="Century" w:eastAsia="Times New Roman" w:hAnsi="Century" w:cs="Tahoma"/>
          <w:bCs/>
          <w:sz w:val="24"/>
          <w:szCs w:val="24"/>
          <w:lang w:val="es-ES" w:eastAsia="es-ES"/>
        </w:rPr>
        <w:t>cefepime</w:t>
      </w:r>
      <w:proofErr w:type="spellEnd"/>
      <w:r w:rsidRPr="007B00B4">
        <w:rPr>
          <w:rFonts w:ascii="Century" w:eastAsia="Times New Roman" w:hAnsi="Century" w:cs="Tahoma"/>
          <w:bCs/>
          <w:sz w:val="24"/>
          <w:szCs w:val="24"/>
          <w:lang w:val="es-ES" w:eastAsia="es-ES"/>
        </w:rPr>
        <w:t xml:space="preserve"> se encuentra en una clase de medicamentos llamados antibióticos de cefalosporina. Funciona matando las bacterias.</w:t>
      </w:r>
    </w:p>
    <w:p w14:paraId="201759F2" w14:textId="3AE26F62" w:rsidR="007B00B4" w:rsidRDefault="007B00B4" w:rsidP="007B00B4">
      <w:pPr>
        <w:spacing w:after="0" w:line="240" w:lineRule="auto"/>
        <w:jc w:val="both"/>
        <w:rPr>
          <w:rFonts w:ascii="Century" w:eastAsia="Times New Roman" w:hAnsi="Century" w:cs="Tahoma"/>
          <w:bCs/>
          <w:sz w:val="24"/>
          <w:szCs w:val="24"/>
          <w:lang w:val="es-ES" w:eastAsia="es-ES"/>
        </w:rPr>
      </w:pPr>
    </w:p>
    <w:p w14:paraId="1BD7CD9B" w14:textId="40F78654" w:rsidR="007B00B4" w:rsidRDefault="007B00B4" w:rsidP="007B00B4">
      <w:pPr>
        <w:spacing w:after="0" w:line="240" w:lineRule="auto"/>
        <w:jc w:val="both"/>
        <w:rPr>
          <w:rFonts w:ascii="Century" w:eastAsia="Times New Roman" w:hAnsi="Century" w:cs="Tahoma"/>
          <w:bCs/>
          <w:sz w:val="24"/>
          <w:szCs w:val="24"/>
          <w:lang w:val="es-ES" w:eastAsia="es-ES"/>
        </w:rPr>
      </w:pPr>
    </w:p>
    <w:p w14:paraId="72E9283E" w14:textId="77777777" w:rsidR="007B00B4" w:rsidRPr="007B00B4" w:rsidRDefault="007B00B4" w:rsidP="007B00B4">
      <w:pPr>
        <w:spacing w:after="0" w:line="240" w:lineRule="auto"/>
        <w:jc w:val="both"/>
        <w:rPr>
          <w:rFonts w:ascii="Century" w:eastAsia="Times New Roman" w:hAnsi="Century" w:cs="Tahoma"/>
          <w:bCs/>
          <w:sz w:val="24"/>
          <w:szCs w:val="24"/>
          <w:lang w:val="es-ES" w:eastAsia="es-ES"/>
        </w:rPr>
      </w:pPr>
    </w:p>
    <w:p w14:paraId="39C6BFF9"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p>
    <w:p w14:paraId="18BF83C8" w14:textId="77777777" w:rsidR="007B00B4" w:rsidRPr="007B00B4" w:rsidRDefault="007B00B4" w:rsidP="007B00B4">
      <w:pPr>
        <w:spacing w:after="0" w:line="240" w:lineRule="auto"/>
        <w:jc w:val="both"/>
        <w:rPr>
          <w:rFonts w:ascii="Century" w:eastAsia="Times New Roman" w:hAnsi="Century" w:cs="Tahoma"/>
          <w:b/>
          <w:bCs/>
          <w:sz w:val="24"/>
          <w:szCs w:val="24"/>
          <w:lang w:eastAsia="es-ES"/>
        </w:rPr>
      </w:pPr>
      <w:r w:rsidRPr="007B00B4">
        <w:rPr>
          <w:rFonts w:ascii="Century" w:eastAsia="Times New Roman" w:hAnsi="Century" w:cs="Tahoma"/>
          <w:b/>
          <w:bCs/>
          <w:sz w:val="24"/>
          <w:szCs w:val="24"/>
          <w:lang w:eastAsia="es-ES"/>
        </w:rPr>
        <w:t>CONTRAINDICACIONES:</w:t>
      </w:r>
    </w:p>
    <w:p w14:paraId="062F5EB6"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proofErr w:type="spellStart"/>
      <w:r w:rsidRPr="007B00B4">
        <w:rPr>
          <w:rFonts w:ascii="Century" w:eastAsia="Times New Roman" w:hAnsi="Century" w:cs="Tahoma"/>
          <w:bCs/>
          <w:sz w:val="24"/>
          <w:szCs w:val="24"/>
          <w:lang w:eastAsia="es-ES"/>
        </w:rPr>
        <w:t>Cefepime</w:t>
      </w:r>
      <w:proofErr w:type="spellEnd"/>
      <w:r w:rsidRPr="007B00B4">
        <w:rPr>
          <w:rFonts w:ascii="Century" w:eastAsia="Times New Roman" w:hAnsi="Century" w:cs="Tahoma"/>
          <w:bCs/>
          <w:sz w:val="24"/>
          <w:szCs w:val="24"/>
          <w:lang w:eastAsia="es-ES"/>
        </w:rPr>
        <w:t xml:space="preserve"> está contraindicado en pacientes que han mostrado reacciones de hipersensibilidad inmediata al </w:t>
      </w:r>
      <w:proofErr w:type="spellStart"/>
      <w:r w:rsidRPr="007B00B4">
        <w:rPr>
          <w:rFonts w:ascii="Century" w:eastAsia="Times New Roman" w:hAnsi="Century" w:cs="Tahoma"/>
          <w:bCs/>
          <w:sz w:val="24"/>
          <w:szCs w:val="24"/>
          <w:lang w:eastAsia="es-ES"/>
        </w:rPr>
        <w:t>cefepime</w:t>
      </w:r>
      <w:proofErr w:type="spellEnd"/>
      <w:r w:rsidRPr="007B00B4">
        <w:rPr>
          <w:rFonts w:ascii="Century" w:eastAsia="Times New Roman" w:hAnsi="Century" w:cs="Tahoma"/>
          <w:bCs/>
          <w:sz w:val="24"/>
          <w:szCs w:val="24"/>
          <w:lang w:eastAsia="es-ES"/>
        </w:rPr>
        <w:t xml:space="preserve"> o a la clase de antibióticos de cefalosporina, penicilinas u otros antibióticos beta-</w:t>
      </w:r>
      <w:proofErr w:type="spellStart"/>
      <w:r w:rsidRPr="007B00B4">
        <w:rPr>
          <w:rFonts w:ascii="Century" w:eastAsia="Times New Roman" w:hAnsi="Century" w:cs="Tahoma"/>
          <w:bCs/>
          <w:sz w:val="24"/>
          <w:szCs w:val="24"/>
          <w:lang w:eastAsia="es-ES"/>
        </w:rPr>
        <w:t>lactámicos</w:t>
      </w:r>
      <w:proofErr w:type="spellEnd"/>
      <w:r w:rsidRPr="007B00B4">
        <w:rPr>
          <w:rFonts w:ascii="Century" w:eastAsia="Times New Roman" w:hAnsi="Century" w:cs="Tahoma"/>
          <w:bCs/>
          <w:sz w:val="24"/>
          <w:szCs w:val="24"/>
          <w:lang w:eastAsia="es-ES"/>
        </w:rPr>
        <w:t>.</w:t>
      </w:r>
    </w:p>
    <w:p w14:paraId="6251116E"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p>
    <w:p w14:paraId="5B169455"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r w:rsidRPr="007B00B4">
        <w:rPr>
          <w:rFonts w:ascii="Century" w:eastAsia="Times New Roman" w:hAnsi="Century" w:cs="Tahoma"/>
          <w:b/>
          <w:bCs/>
          <w:sz w:val="24"/>
          <w:szCs w:val="24"/>
          <w:lang w:eastAsia="es-ES"/>
        </w:rPr>
        <w:t>ALMACENAMIENTO:</w:t>
      </w:r>
    </w:p>
    <w:p w14:paraId="0C4565E3"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r w:rsidRPr="007B00B4">
        <w:rPr>
          <w:rFonts w:ascii="Century" w:eastAsia="Times New Roman" w:hAnsi="Century" w:cs="Tahoma"/>
          <w:bCs/>
          <w:sz w:val="24"/>
          <w:szCs w:val="24"/>
          <w:lang w:eastAsia="es-ES"/>
        </w:rPr>
        <w:t>Almacenar en un lugar seco a menos de 30°C. Protegerlo de la luz y la humedad.</w:t>
      </w:r>
    </w:p>
    <w:p w14:paraId="5D62633F"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r w:rsidRPr="007B00B4">
        <w:rPr>
          <w:rFonts w:ascii="Century" w:eastAsia="Times New Roman" w:hAnsi="Century" w:cs="Tahoma"/>
          <w:bCs/>
          <w:sz w:val="24"/>
          <w:szCs w:val="24"/>
          <w:lang w:eastAsia="es-ES"/>
        </w:rPr>
        <w:t>El vial en la caja de cartón exterior para protegerlo de la luz.</w:t>
      </w:r>
    </w:p>
    <w:p w14:paraId="2286410E"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p>
    <w:p w14:paraId="137A6F69"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r w:rsidRPr="007B00B4">
        <w:rPr>
          <w:rFonts w:ascii="Century" w:eastAsia="Times New Roman" w:hAnsi="Century" w:cs="Tahoma"/>
          <w:b/>
          <w:bCs/>
          <w:i/>
          <w:iCs/>
          <w:sz w:val="24"/>
          <w:szCs w:val="24"/>
          <w:u w:val="single"/>
          <w:lang w:eastAsia="es-ES"/>
        </w:rPr>
        <w:t>Nota:</w:t>
      </w:r>
      <w:r w:rsidRPr="007B00B4">
        <w:rPr>
          <w:rFonts w:ascii="Century" w:eastAsia="Times New Roman" w:hAnsi="Century" w:cs="Tahoma"/>
          <w:b/>
          <w:bCs/>
          <w:i/>
          <w:iCs/>
          <w:sz w:val="24"/>
          <w:szCs w:val="24"/>
          <w:lang w:eastAsia="es-ES"/>
        </w:rPr>
        <w:t xml:space="preserve"> Para </w:t>
      </w:r>
      <w:proofErr w:type="gramStart"/>
      <w:r w:rsidRPr="007B00B4">
        <w:rPr>
          <w:rFonts w:ascii="Century" w:eastAsia="Times New Roman" w:hAnsi="Century" w:cs="Tahoma"/>
          <w:b/>
          <w:bCs/>
          <w:i/>
          <w:iCs/>
          <w:sz w:val="24"/>
          <w:szCs w:val="24"/>
          <w:lang w:eastAsia="es-ES"/>
        </w:rPr>
        <w:t>cuando  se</w:t>
      </w:r>
      <w:proofErr w:type="gramEnd"/>
      <w:r w:rsidRPr="007B00B4">
        <w:rPr>
          <w:rFonts w:ascii="Century" w:eastAsia="Times New Roman" w:hAnsi="Century" w:cs="Tahoma"/>
          <w:b/>
          <w:bCs/>
          <w:i/>
          <w:iCs/>
          <w:sz w:val="24"/>
          <w:szCs w:val="24"/>
          <w:lang w:eastAsia="es-ES"/>
        </w:rPr>
        <w:t xml:space="preserve"> use  la Solución Reconstituida:</w:t>
      </w:r>
      <w:r w:rsidRPr="007B00B4">
        <w:rPr>
          <w:rFonts w:ascii="Century" w:eastAsia="Times New Roman" w:hAnsi="Century" w:cs="Tahoma"/>
          <w:bCs/>
          <w:sz w:val="24"/>
          <w:szCs w:val="24"/>
          <w:lang w:eastAsia="es-ES"/>
        </w:rPr>
        <w:t xml:space="preserve"> El producto debe usarse de inmediato y  Mantener el vial en la caja de cartón exterior para protegerlo de la luz.</w:t>
      </w:r>
    </w:p>
    <w:p w14:paraId="5B10C0E5" w14:textId="77777777" w:rsidR="007B00B4" w:rsidRPr="007B00B4" w:rsidRDefault="007B00B4" w:rsidP="007B00B4">
      <w:pPr>
        <w:spacing w:after="0" w:line="240" w:lineRule="auto"/>
        <w:jc w:val="both"/>
        <w:rPr>
          <w:rFonts w:ascii="Century" w:eastAsia="Times New Roman" w:hAnsi="Century" w:cs="Tahoma"/>
          <w:bCs/>
          <w:sz w:val="24"/>
          <w:szCs w:val="24"/>
          <w:lang w:eastAsia="es-ES"/>
        </w:rPr>
      </w:pPr>
    </w:p>
    <w:p w14:paraId="071559A5" w14:textId="77777777" w:rsidR="007B00B4" w:rsidRPr="007B00B4" w:rsidRDefault="007B00B4" w:rsidP="007B00B4">
      <w:pPr>
        <w:spacing w:after="0" w:line="240" w:lineRule="auto"/>
        <w:jc w:val="both"/>
        <w:rPr>
          <w:rFonts w:ascii="Century" w:eastAsia="Times New Roman" w:hAnsi="Century" w:cs="Tahoma"/>
          <w:bCs/>
          <w:sz w:val="24"/>
          <w:szCs w:val="24"/>
          <w:lang w:val="es-ES" w:eastAsia="es-ES"/>
        </w:rPr>
      </w:pPr>
    </w:p>
    <w:p w14:paraId="591CC15E" w14:textId="70EBB436" w:rsidR="007B00B4" w:rsidRPr="007B00B4" w:rsidRDefault="007B00B4" w:rsidP="007B00B4">
      <w:pPr>
        <w:spacing w:after="0" w:line="240" w:lineRule="auto"/>
        <w:jc w:val="both"/>
        <w:rPr>
          <w:rFonts w:ascii="Century" w:eastAsia="Times New Roman" w:hAnsi="Century" w:cs="Tahoma"/>
          <w:b/>
          <w:bCs/>
          <w:sz w:val="40"/>
          <w:szCs w:val="40"/>
          <w:lang w:val="es-419" w:eastAsia="es-ES"/>
        </w:rPr>
      </w:pPr>
      <w:bookmarkStart w:id="0" w:name="_Hlk48906262"/>
      <w:r w:rsidRPr="007B00B4">
        <w:rPr>
          <w:rFonts w:ascii="Century" w:eastAsia="Times New Roman" w:hAnsi="Century" w:cs="Tahoma"/>
          <w:b/>
          <w:bCs/>
          <w:sz w:val="40"/>
          <w:szCs w:val="40"/>
          <w:lang w:val="es-419" w:eastAsia="es-ES"/>
        </w:rPr>
        <w:t>Fichas Técnica</w:t>
      </w:r>
    </w:p>
    <w:bookmarkEnd w:id="0"/>
    <w:p w14:paraId="1D6D821E" w14:textId="77777777" w:rsidR="007B00B4" w:rsidRPr="007B00B4" w:rsidRDefault="007B00B4" w:rsidP="007B00B4">
      <w:pPr>
        <w:spacing w:after="0" w:line="240" w:lineRule="auto"/>
        <w:jc w:val="both"/>
        <w:rPr>
          <w:rFonts w:ascii="Century" w:eastAsia="Times New Roman" w:hAnsi="Century" w:cs="Tahoma"/>
          <w:b/>
          <w:bCs/>
          <w:sz w:val="24"/>
          <w:szCs w:val="24"/>
          <w:lang w:val="es-419" w:eastAsia="es-ES"/>
        </w:rPr>
      </w:pPr>
    </w:p>
    <w:p w14:paraId="3F33165B" w14:textId="77777777" w:rsidR="007B00B4" w:rsidRPr="007B00B4" w:rsidRDefault="007B00B4" w:rsidP="007B00B4">
      <w:pPr>
        <w:spacing w:after="0" w:line="240" w:lineRule="auto"/>
        <w:jc w:val="both"/>
        <w:rPr>
          <w:rFonts w:ascii="Century" w:eastAsia="Times New Roman" w:hAnsi="Century" w:cs="Tahoma"/>
          <w:b/>
          <w:bCs/>
          <w:sz w:val="24"/>
          <w:szCs w:val="24"/>
          <w:lang w:val="es-ES_tradnl" w:eastAsia="es-ES"/>
        </w:rPr>
      </w:pPr>
      <w:r w:rsidRPr="007B00B4">
        <w:rPr>
          <w:rFonts w:ascii="Century" w:eastAsia="Times New Roman" w:hAnsi="Century" w:cs="Tahoma"/>
          <w:b/>
          <w:bCs/>
          <w:sz w:val="24"/>
          <w:szCs w:val="24"/>
          <w:lang w:val="es-ES_tradnl" w:eastAsia="es-ES"/>
        </w:rPr>
        <w:t>Verapamilo</w:t>
      </w:r>
      <w:r w:rsidRPr="007B00B4">
        <w:rPr>
          <w:rFonts w:ascii="Century" w:eastAsia="Times New Roman" w:hAnsi="Century" w:cs="Tahoma"/>
          <w:b/>
          <w:bCs/>
          <w:sz w:val="24"/>
          <w:szCs w:val="24"/>
          <w:lang w:val="es-419" w:eastAsia="es-ES"/>
        </w:rPr>
        <w:t xml:space="preserve"> 5mg </w:t>
      </w:r>
      <w:r w:rsidRPr="007B00B4">
        <w:rPr>
          <w:rFonts w:ascii="Century" w:eastAsia="Times New Roman" w:hAnsi="Century" w:cs="Tahoma"/>
          <w:b/>
          <w:bCs/>
          <w:sz w:val="24"/>
          <w:szCs w:val="24"/>
          <w:lang w:val="es-ES_tradnl" w:eastAsia="es-ES"/>
        </w:rPr>
        <w:t xml:space="preserve">solución inyectable I.V.: </w:t>
      </w:r>
    </w:p>
    <w:p w14:paraId="25ED676B" w14:textId="77777777" w:rsidR="007B00B4" w:rsidRPr="007B00B4" w:rsidRDefault="007B00B4" w:rsidP="007B00B4">
      <w:pPr>
        <w:spacing w:after="0" w:line="240" w:lineRule="auto"/>
        <w:jc w:val="both"/>
        <w:rPr>
          <w:rFonts w:ascii="Century" w:eastAsia="Times New Roman" w:hAnsi="Century" w:cs="Tahoma"/>
          <w:b/>
          <w:bCs/>
          <w:sz w:val="24"/>
          <w:szCs w:val="24"/>
          <w:lang w:val="es-ES_tradnl" w:eastAsia="es-ES"/>
        </w:rPr>
      </w:pPr>
      <w:proofErr w:type="spellStart"/>
      <w:r w:rsidRPr="007B00B4">
        <w:rPr>
          <w:rFonts w:ascii="Century" w:eastAsia="Times New Roman" w:hAnsi="Century" w:cs="Tahoma"/>
          <w:b/>
          <w:bCs/>
          <w:sz w:val="24"/>
          <w:szCs w:val="24"/>
          <w:lang w:val="es-ES_tradnl" w:eastAsia="es-ES"/>
        </w:rPr>
        <w:t>Calcioantagonista</w:t>
      </w:r>
      <w:proofErr w:type="spellEnd"/>
      <w:r w:rsidRPr="007B00B4">
        <w:rPr>
          <w:rFonts w:ascii="Century" w:eastAsia="Times New Roman" w:hAnsi="Century" w:cs="Tahoma"/>
          <w:b/>
          <w:bCs/>
          <w:sz w:val="24"/>
          <w:szCs w:val="24"/>
          <w:lang w:val="es-ES_tradnl" w:eastAsia="es-ES"/>
        </w:rPr>
        <w:t xml:space="preserve">, </w:t>
      </w:r>
      <w:proofErr w:type="spellStart"/>
      <w:r w:rsidRPr="007B00B4">
        <w:rPr>
          <w:rFonts w:ascii="Century" w:eastAsia="Times New Roman" w:hAnsi="Century" w:cs="Tahoma"/>
          <w:b/>
          <w:bCs/>
          <w:sz w:val="24"/>
          <w:szCs w:val="24"/>
          <w:lang w:val="es-ES_tradnl" w:eastAsia="es-ES"/>
        </w:rPr>
        <w:t>antianginoso</w:t>
      </w:r>
      <w:proofErr w:type="spellEnd"/>
      <w:r w:rsidRPr="007B00B4">
        <w:rPr>
          <w:rFonts w:ascii="Century" w:eastAsia="Times New Roman" w:hAnsi="Century" w:cs="Tahoma"/>
          <w:b/>
          <w:bCs/>
          <w:sz w:val="24"/>
          <w:szCs w:val="24"/>
          <w:lang w:val="es-ES_tradnl" w:eastAsia="es-ES"/>
        </w:rPr>
        <w:t xml:space="preserve"> y antiarrítmico.</w:t>
      </w:r>
    </w:p>
    <w:p w14:paraId="1FA53CDB" w14:textId="77777777" w:rsidR="007B00B4" w:rsidRPr="007B00B4" w:rsidRDefault="007B00B4" w:rsidP="007B00B4">
      <w:pPr>
        <w:spacing w:after="0" w:line="240" w:lineRule="auto"/>
        <w:jc w:val="both"/>
        <w:rPr>
          <w:rFonts w:ascii="Century" w:eastAsia="Times New Roman" w:hAnsi="Century" w:cs="Tahoma"/>
          <w:bCs/>
          <w:sz w:val="24"/>
          <w:szCs w:val="24"/>
          <w:lang w:val="es-419" w:eastAsia="es-ES"/>
        </w:rPr>
      </w:pPr>
      <w:r w:rsidRPr="007B00B4">
        <w:rPr>
          <w:rFonts w:ascii="Century" w:eastAsia="Times New Roman" w:hAnsi="Century" w:cs="Tahoma"/>
          <w:b/>
          <w:bCs/>
          <w:sz w:val="24"/>
          <w:szCs w:val="24"/>
          <w:lang w:val="es-ES_tradnl" w:eastAsia="es-ES"/>
        </w:rPr>
        <w:t>Cada ampolleta de 2 ml contiene:</w:t>
      </w:r>
    </w:p>
    <w:p w14:paraId="211C4DE4" w14:textId="77777777" w:rsidR="007B00B4" w:rsidRPr="007B00B4" w:rsidRDefault="007B00B4" w:rsidP="007B00B4">
      <w:pPr>
        <w:spacing w:after="0" w:line="240" w:lineRule="auto"/>
        <w:jc w:val="both"/>
        <w:rPr>
          <w:rFonts w:ascii="Century" w:eastAsia="Times New Roman" w:hAnsi="Century" w:cs="Tahoma"/>
          <w:bCs/>
          <w:sz w:val="24"/>
          <w:szCs w:val="24"/>
          <w:lang w:val="es-ES_tradnl" w:eastAsia="es-ES"/>
        </w:rPr>
      </w:pPr>
      <w:r w:rsidRPr="007B00B4">
        <w:rPr>
          <w:rFonts w:ascii="Century" w:eastAsia="Times New Roman" w:hAnsi="Century" w:cs="Tahoma"/>
          <w:bCs/>
          <w:sz w:val="24"/>
          <w:szCs w:val="24"/>
          <w:lang w:val="es-ES_tradnl" w:eastAsia="es-ES"/>
        </w:rPr>
        <w:t>Clorhidrato de verapamilo................................................... 5 mg</w:t>
      </w:r>
    </w:p>
    <w:p w14:paraId="55E4DD5F" w14:textId="77777777" w:rsidR="007B00B4" w:rsidRPr="007B00B4" w:rsidRDefault="007B00B4" w:rsidP="007B00B4">
      <w:pPr>
        <w:spacing w:after="0" w:line="240" w:lineRule="auto"/>
        <w:jc w:val="both"/>
        <w:rPr>
          <w:rFonts w:ascii="Century" w:eastAsia="Times New Roman" w:hAnsi="Century" w:cs="Tahoma"/>
          <w:bCs/>
          <w:sz w:val="24"/>
          <w:szCs w:val="24"/>
          <w:lang w:val="es-ES_tradnl" w:eastAsia="es-ES"/>
        </w:rPr>
      </w:pPr>
      <w:r w:rsidRPr="007B00B4">
        <w:rPr>
          <w:rFonts w:ascii="Century" w:eastAsia="Times New Roman" w:hAnsi="Century" w:cs="Tahoma"/>
          <w:bCs/>
          <w:sz w:val="24"/>
          <w:szCs w:val="24"/>
          <w:lang w:val="es-ES_tradnl" w:eastAsia="es-ES"/>
        </w:rPr>
        <w:t xml:space="preserve">VERAPAMILO intravenoso está </w:t>
      </w:r>
      <w:r w:rsidRPr="007B00B4">
        <w:rPr>
          <w:rFonts w:ascii="Century" w:eastAsia="Times New Roman" w:hAnsi="Century" w:cs="Tahoma"/>
          <w:b/>
          <w:bCs/>
          <w:sz w:val="24"/>
          <w:szCs w:val="24"/>
          <w:lang w:val="es-ES_tradnl" w:eastAsia="es-ES"/>
        </w:rPr>
        <w:t>indicado</w:t>
      </w:r>
      <w:r w:rsidRPr="007B00B4">
        <w:rPr>
          <w:rFonts w:ascii="Century" w:eastAsia="Times New Roman" w:hAnsi="Century" w:cs="Tahoma"/>
          <w:bCs/>
          <w:sz w:val="24"/>
          <w:szCs w:val="24"/>
          <w:lang w:val="es-ES_tradnl" w:eastAsia="es-ES"/>
        </w:rPr>
        <w:t xml:space="preserve"> para la rápida conversión de taquicardia supraventricular paroxística a un ritmo sinusal, también sirve para el síndrome de Wolff-Parkinson-White y en el síndrome </w:t>
      </w:r>
      <w:proofErr w:type="spellStart"/>
      <w:r w:rsidRPr="007B00B4">
        <w:rPr>
          <w:rFonts w:ascii="Century" w:eastAsia="Times New Roman" w:hAnsi="Century" w:cs="Tahoma"/>
          <w:bCs/>
          <w:sz w:val="24"/>
          <w:szCs w:val="24"/>
          <w:lang w:val="es-ES_tradnl" w:eastAsia="es-ES"/>
        </w:rPr>
        <w:t>Lown</w:t>
      </w:r>
      <w:proofErr w:type="spellEnd"/>
      <w:r w:rsidRPr="007B00B4">
        <w:rPr>
          <w:rFonts w:ascii="Century" w:eastAsia="Times New Roman" w:hAnsi="Century" w:cs="Tahoma"/>
          <w:bCs/>
          <w:sz w:val="24"/>
          <w:szCs w:val="24"/>
          <w:lang w:val="es-ES_tradnl" w:eastAsia="es-ES"/>
        </w:rPr>
        <w:t xml:space="preserve">-Ganong-Levine, en el control temporal de la contracción ventricular rápida, en fibrilación ventricular, excepto cuando están asociadas con el síndrome de Wolff-Parkinson-White y síndrome </w:t>
      </w:r>
      <w:proofErr w:type="spellStart"/>
      <w:r w:rsidRPr="007B00B4">
        <w:rPr>
          <w:rFonts w:ascii="Century" w:eastAsia="Times New Roman" w:hAnsi="Century" w:cs="Tahoma"/>
          <w:bCs/>
          <w:sz w:val="24"/>
          <w:szCs w:val="24"/>
          <w:lang w:val="es-ES_tradnl" w:eastAsia="es-ES"/>
        </w:rPr>
        <w:t>Lown</w:t>
      </w:r>
      <w:proofErr w:type="spellEnd"/>
      <w:r w:rsidRPr="007B00B4">
        <w:rPr>
          <w:rFonts w:ascii="Century" w:eastAsia="Times New Roman" w:hAnsi="Century" w:cs="Tahoma"/>
          <w:bCs/>
          <w:sz w:val="24"/>
          <w:szCs w:val="24"/>
          <w:lang w:val="es-ES_tradnl" w:eastAsia="es-ES"/>
        </w:rPr>
        <w:t>-Ganong-Levine.</w:t>
      </w:r>
    </w:p>
    <w:p w14:paraId="480D7288" w14:textId="77777777" w:rsidR="007B00B4" w:rsidRPr="007B00B4" w:rsidRDefault="007B00B4" w:rsidP="007B00B4">
      <w:pPr>
        <w:spacing w:after="0" w:line="240" w:lineRule="auto"/>
        <w:jc w:val="both"/>
        <w:rPr>
          <w:rFonts w:ascii="Century" w:eastAsia="Times New Roman" w:hAnsi="Century" w:cs="Tahoma"/>
          <w:b/>
          <w:bCs/>
          <w:sz w:val="24"/>
          <w:szCs w:val="24"/>
          <w:lang w:val="es-419" w:eastAsia="es-ES"/>
        </w:rPr>
      </w:pPr>
      <w:r w:rsidRPr="007B00B4">
        <w:rPr>
          <w:rFonts w:ascii="Century" w:eastAsia="Times New Roman" w:hAnsi="Century" w:cs="Tahoma"/>
          <w:b/>
          <w:bCs/>
          <w:sz w:val="24"/>
          <w:szCs w:val="24"/>
          <w:lang w:val="es-ES_tradnl" w:eastAsia="es-ES"/>
        </w:rPr>
        <w:t>Consérvese a temperatura ambiente a no más de 30° C y en lugar seco.</w:t>
      </w:r>
    </w:p>
    <w:p w14:paraId="46EFB042" w14:textId="77777777" w:rsidR="007B00B4" w:rsidRPr="007B00B4" w:rsidRDefault="007B00B4" w:rsidP="007B00B4">
      <w:pPr>
        <w:spacing w:after="0" w:line="240" w:lineRule="auto"/>
        <w:jc w:val="both"/>
        <w:rPr>
          <w:rFonts w:ascii="Century" w:eastAsia="Times New Roman" w:hAnsi="Century" w:cs="Tahoma"/>
          <w:b/>
          <w:bCs/>
          <w:sz w:val="24"/>
          <w:szCs w:val="24"/>
          <w:lang w:val="es-419" w:eastAsia="es-ES"/>
        </w:rPr>
      </w:pPr>
    </w:p>
    <w:p w14:paraId="7449C08B" w14:textId="77777777" w:rsidR="007B00B4" w:rsidRPr="007B00B4" w:rsidRDefault="007B00B4" w:rsidP="007B00B4">
      <w:pPr>
        <w:spacing w:after="0" w:line="240" w:lineRule="auto"/>
        <w:jc w:val="both"/>
        <w:rPr>
          <w:rFonts w:ascii="Century" w:eastAsia="Times New Roman" w:hAnsi="Century" w:cs="Tahoma"/>
          <w:b/>
          <w:bCs/>
          <w:sz w:val="24"/>
          <w:szCs w:val="24"/>
          <w:lang w:val="es-419" w:eastAsia="es-ES"/>
        </w:rPr>
      </w:pPr>
    </w:p>
    <w:p w14:paraId="4C6C9C44" w14:textId="77777777" w:rsidR="007B00B4" w:rsidRPr="007B00B4" w:rsidRDefault="007B00B4" w:rsidP="007B00B4">
      <w:pPr>
        <w:spacing w:after="0" w:line="240" w:lineRule="auto"/>
        <w:jc w:val="both"/>
        <w:rPr>
          <w:rFonts w:ascii="Century" w:eastAsia="Times New Roman" w:hAnsi="Century" w:cs="Tahoma"/>
          <w:bCs/>
          <w:sz w:val="24"/>
          <w:szCs w:val="24"/>
          <w:lang w:val="es-419" w:eastAsia="es-ES"/>
        </w:rPr>
      </w:pPr>
    </w:p>
    <w:p w14:paraId="7DB3BBA2" w14:textId="77777777" w:rsidR="007B00B4" w:rsidRPr="007B00B4" w:rsidRDefault="007B00B4" w:rsidP="007B00B4">
      <w:pPr>
        <w:spacing w:after="0" w:line="240" w:lineRule="auto"/>
        <w:jc w:val="both"/>
        <w:rPr>
          <w:rFonts w:ascii="Century" w:eastAsia="Times New Roman" w:hAnsi="Century" w:cs="Tahoma"/>
          <w:bCs/>
          <w:sz w:val="24"/>
          <w:szCs w:val="24"/>
          <w:lang w:val="es-419" w:eastAsia="es-ES"/>
        </w:rPr>
      </w:pPr>
    </w:p>
    <w:p w14:paraId="0B255837" w14:textId="32B5E749" w:rsidR="007B00B4" w:rsidRPr="007B00B4" w:rsidRDefault="007B00B4" w:rsidP="00AA4536">
      <w:pPr>
        <w:spacing w:after="0" w:line="240" w:lineRule="auto"/>
        <w:jc w:val="both"/>
        <w:rPr>
          <w:rFonts w:ascii="Century" w:eastAsia="Times New Roman" w:hAnsi="Century" w:cs="Tahoma"/>
          <w:bCs/>
          <w:sz w:val="24"/>
          <w:szCs w:val="24"/>
          <w:lang w:val="es-419" w:eastAsia="es-ES"/>
        </w:rPr>
      </w:pPr>
    </w:p>
    <w:p w14:paraId="0776A2EE" w14:textId="77777777" w:rsidR="007B00B4" w:rsidRPr="00AB7354" w:rsidRDefault="007B00B4" w:rsidP="00AA4536">
      <w:pPr>
        <w:spacing w:after="0" w:line="240" w:lineRule="auto"/>
        <w:jc w:val="both"/>
        <w:rPr>
          <w:rFonts w:ascii="Century" w:eastAsia="Times New Roman" w:hAnsi="Century" w:cs="Tahoma"/>
          <w:bCs/>
          <w:sz w:val="24"/>
          <w:szCs w:val="24"/>
          <w:lang w:val="es-ES" w:eastAsia="es-ES"/>
        </w:rPr>
      </w:pPr>
    </w:p>
    <w:p w14:paraId="5D41158E" w14:textId="77777777" w:rsidR="00AA4536" w:rsidRPr="00AB7354" w:rsidRDefault="00A237EE" w:rsidP="00AA4536">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lastRenderedPageBreak/>
        <w:t xml:space="preserve">       </w:t>
      </w:r>
      <w:r w:rsidR="00941FEB" w:rsidRPr="00AB7354">
        <w:rPr>
          <w:rFonts w:ascii="Century" w:eastAsia="Times New Roman" w:hAnsi="Century" w:cs="Tahoma"/>
          <w:b/>
          <w:sz w:val="24"/>
          <w:szCs w:val="24"/>
          <w:lang w:val="es-ES" w:eastAsia="es-ES"/>
        </w:rPr>
        <w:tab/>
      </w:r>
      <w:r w:rsidRPr="00AB7354">
        <w:rPr>
          <w:rFonts w:ascii="Century" w:eastAsia="Times New Roman" w:hAnsi="Century" w:cs="Tahoma"/>
          <w:b/>
          <w:sz w:val="24"/>
          <w:szCs w:val="24"/>
          <w:lang w:val="es-ES" w:eastAsia="es-ES"/>
        </w:rPr>
        <w:t xml:space="preserve"> </w:t>
      </w:r>
      <w:r w:rsidR="00AA4536" w:rsidRPr="00AB7354">
        <w:rPr>
          <w:rFonts w:ascii="Century" w:eastAsia="Times New Roman" w:hAnsi="Century" w:cs="Tahoma"/>
          <w:b/>
          <w:sz w:val="24"/>
          <w:szCs w:val="24"/>
          <w:lang w:val="es-ES" w:eastAsia="es-ES"/>
        </w:rPr>
        <w:t>Requisitos para participar en el concurso</w:t>
      </w:r>
    </w:p>
    <w:p w14:paraId="24E4CE6A" w14:textId="77777777" w:rsidR="00AA4536" w:rsidRPr="00AB7354" w:rsidRDefault="00AA4536" w:rsidP="00AA4536">
      <w:pPr>
        <w:spacing w:after="0" w:line="240" w:lineRule="auto"/>
        <w:jc w:val="both"/>
        <w:rPr>
          <w:rFonts w:ascii="Century" w:eastAsia="Times New Roman" w:hAnsi="Century" w:cs="Tahoma"/>
          <w:b/>
          <w:sz w:val="24"/>
          <w:szCs w:val="24"/>
          <w:lang w:val="es-ES" w:eastAsia="es-ES"/>
        </w:rPr>
      </w:pPr>
    </w:p>
    <w:p w14:paraId="78CF8C93" w14:textId="77777777" w:rsidR="00644153" w:rsidRPr="00AB7354" w:rsidRDefault="00AA4536" w:rsidP="00941FEB">
      <w:pPr>
        <w:spacing w:after="0" w:line="240" w:lineRule="auto"/>
        <w:ind w:firstLine="360"/>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Las empresas participantes tendrán que:</w:t>
      </w:r>
    </w:p>
    <w:p w14:paraId="4D50DBF6" w14:textId="77777777" w:rsidR="00644153" w:rsidRPr="00AB7354" w:rsidRDefault="00644153" w:rsidP="00AA4536">
      <w:pPr>
        <w:spacing w:after="0" w:line="240" w:lineRule="auto"/>
        <w:jc w:val="both"/>
        <w:rPr>
          <w:rFonts w:ascii="Century" w:eastAsia="Times New Roman" w:hAnsi="Century" w:cs="Tahoma"/>
          <w:bCs/>
          <w:sz w:val="24"/>
          <w:szCs w:val="24"/>
          <w:lang w:val="es-ES" w:eastAsia="es-ES"/>
        </w:rPr>
      </w:pPr>
    </w:p>
    <w:p w14:paraId="3213503F" w14:textId="485B4CA3" w:rsidR="00B24A80" w:rsidRPr="00AB7354" w:rsidRDefault="00C22878" w:rsidP="00B306D1">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w:t>
      </w:r>
      <w:r w:rsidR="00644153" w:rsidRPr="00AB7354">
        <w:rPr>
          <w:rFonts w:ascii="Century" w:eastAsia="Times New Roman" w:hAnsi="Century" w:cs="Tahoma"/>
          <w:bCs/>
          <w:sz w:val="24"/>
          <w:szCs w:val="24"/>
          <w:lang w:val="es-ES" w:eastAsia="es-ES"/>
        </w:rPr>
        <w:t xml:space="preserve">ntregar muestra de los productos ofertados </w:t>
      </w:r>
    </w:p>
    <w:p w14:paraId="29FA5F99" w14:textId="77777777" w:rsidR="00644153" w:rsidRPr="00AB7354" w:rsidRDefault="00644153" w:rsidP="00B306D1">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La muestra debe ser entregada en una caja con todos los productos que el proveedor este ofertando la caja debe estar rotulada con el nombre de la empresa el teléfono y correo electrónico del representante. </w:t>
      </w:r>
    </w:p>
    <w:p w14:paraId="05323AD7" w14:textId="77777777" w:rsidR="00AA4536" w:rsidRPr="00AB7354" w:rsidRDefault="00AA4536"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Formulario de entrega de muestras (SNCC.F.056)</w:t>
      </w:r>
    </w:p>
    <w:p w14:paraId="7307FDCE" w14:textId="77777777" w:rsidR="00AA4536"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Registro de Proveedores del Estado actualizado (RPE)</w:t>
      </w:r>
    </w:p>
    <w:p w14:paraId="14A0AE6A"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Certificación emitida por la Dirección General de Impuestos Internos (DGII) donde manifieste que el oferente está al día en el pago de sus obligaciones fiscales.</w:t>
      </w:r>
    </w:p>
    <w:p w14:paraId="734FE59B"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Certificación de la Tesorería de la Seguridad Social (TSS) vigente.</w:t>
      </w:r>
    </w:p>
    <w:p w14:paraId="5B2867FD"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Copia de Cédula de identidad del gerente o del representante legal autorizado a</w:t>
      </w:r>
    </w:p>
    <w:p w14:paraId="382A3857"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firmar.</w:t>
      </w:r>
    </w:p>
    <w:p w14:paraId="46C03CDE"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Registro Mercantil.</w:t>
      </w:r>
    </w:p>
    <w:p w14:paraId="57EBF3A1" w14:textId="77777777" w:rsidR="00715199" w:rsidRPr="00AB7354" w:rsidRDefault="00715199" w:rsidP="00715199">
      <w:pPr>
        <w:spacing w:after="0" w:line="240" w:lineRule="auto"/>
        <w:ind w:left="360"/>
        <w:jc w:val="both"/>
        <w:rPr>
          <w:rFonts w:ascii="Century" w:eastAsia="Times New Roman" w:hAnsi="Century" w:cs="Tahoma"/>
          <w:bCs/>
          <w:sz w:val="24"/>
          <w:szCs w:val="24"/>
          <w:lang w:val="es-ES" w:eastAsia="es-ES"/>
        </w:rPr>
      </w:pPr>
    </w:p>
    <w:p w14:paraId="11EE3F4F" w14:textId="77777777" w:rsidR="00A237EE" w:rsidRPr="00AB7354" w:rsidRDefault="00715199" w:rsidP="00715199">
      <w:pPr>
        <w:spacing w:after="0" w:line="240" w:lineRule="auto"/>
        <w:ind w:left="360"/>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Forma de pago</w:t>
      </w:r>
    </w:p>
    <w:p w14:paraId="7BFF68AD" w14:textId="77777777" w:rsidR="00715199" w:rsidRPr="00AB7354" w:rsidRDefault="00715199" w:rsidP="00715199">
      <w:pPr>
        <w:spacing w:after="0" w:line="240" w:lineRule="auto"/>
        <w:ind w:left="360"/>
        <w:jc w:val="both"/>
        <w:rPr>
          <w:rFonts w:ascii="Century" w:eastAsia="Times New Roman" w:hAnsi="Century" w:cs="Tahoma"/>
          <w:b/>
          <w:sz w:val="24"/>
          <w:szCs w:val="24"/>
          <w:lang w:val="es-ES" w:eastAsia="es-ES"/>
        </w:rPr>
      </w:pPr>
    </w:p>
    <w:p w14:paraId="105FB0C8" w14:textId="77777777" w:rsidR="00715199" w:rsidRPr="00AB7354" w:rsidRDefault="00715199" w:rsidP="00715199">
      <w:pPr>
        <w:pStyle w:val="Prrafodelista"/>
        <w:numPr>
          <w:ilvl w:val="0"/>
          <w:numId w:val="5"/>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Crédito</w:t>
      </w:r>
    </w:p>
    <w:p w14:paraId="420DACEB"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21AF790E"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4C9A9E5F" w14:textId="77777777" w:rsidR="00AB7354" w:rsidRPr="00AB7354" w:rsidRDefault="00AB7354" w:rsidP="00AB7354">
      <w:pPr>
        <w:tabs>
          <w:tab w:val="left" w:pos="0"/>
        </w:tabs>
        <w:autoSpaceDE w:val="0"/>
        <w:autoSpaceDN w:val="0"/>
        <w:adjustRightInd w:val="0"/>
        <w:spacing w:after="0" w:line="240" w:lineRule="auto"/>
        <w:ind w:left="540"/>
        <w:jc w:val="both"/>
        <w:rPr>
          <w:rFonts w:ascii="Century" w:hAnsi="Century" w:cs="Arial"/>
          <w:color w:val="000000"/>
          <w:sz w:val="24"/>
          <w:szCs w:val="24"/>
          <w:lang w:val="es-ES"/>
        </w:rPr>
      </w:pPr>
    </w:p>
    <w:p w14:paraId="62BA73E2" w14:textId="4CE44E6C" w:rsidR="00AB7354" w:rsidRPr="00AB7354" w:rsidRDefault="00AB7354" w:rsidP="00AB7354">
      <w:pPr>
        <w:pStyle w:val="Ttulo3"/>
        <w:rPr>
          <w:rFonts w:ascii="Century" w:hAnsi="Century"/>
          <w:b/>
          <w:bCs/>
          <w:color w:val="000000" w:themeColor="text1"/>
        </w:rPr>
      </w:pPr>
      <w:r w:rsidRPr="00AB7354">
        <w:rPr>
          <w:rFonts w:ascii="Century" w:hAnsi="Century"/>
          <w:b/>
          <w:bCs/>
          <w:color w:val="000000" w:themeColor="text1"/>
        </w:rPr>
        <w:t xml:space="preserve">Consultas, circulares y enmiendas </w:t>
      </w:r>
    </w:p>
    <w:p w14:paraId="25FC88FC"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 xml:space="preserve">Los interesados podrán solicitar al CECANOT aclaraciones acerca de las Fichas Técnicas, hasta la fecha que coincida con el </w:t>
      </w:r>
      <w:r w:rsidRPr="00AB7354">
        <w:rPr>
          <w:rFonts w:ascii="Century" w:hAnsi="Century" w:cs="Arial"/>
          <w:b/>
          <w:sz w:val="24"/>
          <w:szCs w:val="24"/>
        </w:rPr>
        <w:t>CINCUENTA POR CIENTO (50%)</w:t>
      </w:r>
      <w:r w:rsidRPr="00AB7354">
        <w:rPr>
          <w:rFonts w:ascii="Century" w:hAnsi="Century" w:cs="Arial"/>
          <w:sz w:val="24"/>
          <w:szCs w:val="24"/>
        </w:rPr>
        <w:t xml:space="preserve"> del plazo para la presentación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 w:name="_Toc379797385"/>
      <w:bookmarkStart w:id="2" w:name="_Toc185953156"/>
      <w:bookmarkStart w:id="3" w:name="_Toc159673583"/>
      <w:r w:rsidRPr="00AB7354">
        <w:rPr>
          <w:rFonts w:ascii="Century" w:hAnsi="Century" w:cs="Arial"/>
          <w:sz w:val="24"/>
          <w:szCs w:val="24"/>
        </w:rPr>
        <w:t xml:space="preserve">me a la naturaleza de </w:t>
      </w:r>
      <w:proofErr w:type="gramStart"/>
      <w:r w:rsidRPr="00AB7354">
        <w:rPr>
          <w:rFonts w:ascii="Century" w:hAnsi="Century" w:cs="Arial"/>
          <w:sz w:val="24"/>
          <w:szCs w:val="24"/>
        </w:rPr>
        <w:t>la misma</w:t>
      </w:r>
      <w:proofErr w:type="gramEnd"/>
      <w:r w:rsidRPr="00AB7354">
        <w:rPr>
          <w:rFonts w:ascii="Century" w:hAnsi="Century" w:cs="Arial"/>
          <w:sz w:val="24"/>
          <w:szCs w:val="24"/>
        </w:rPr>
        <w:t>.</w:t>
      </w:r>
    </w:p>
    <w:p w14:paraId="641FE3E4" w14:textId="77777777" w:rsidR="00AB7354" w:rsidRPr="00AB7354" w:rsidRDefault="00AB7354" w:rsidP="00AB7354">
      <w:pPr>
        <w:pStyle w:val="Ttulo3"/>
        <w:rPr>
          <w:rStyle w:val="Hipervnculo"/>
          <w:rFonts w:ascii="Century" w:hAnsi="Century"/>
          <w:b/>
          <w:bCs/>
          <w:color w:val="000000" w:themeColor="text1"/>
        </w:rPr>
      </w:pPr>
      <w:r w:rsidRPr="00AB7354">
        <w:rPr>
          <w:rFonts w:ascii="Century" w:hAnsi="Century"/>
          <w:b/>
          <w:bCs/>
          <w:color w:val="000000" w:themeColor="text1"/>
        </w:rPr>
        <w:t>*Dirección</w:t>
      </w:r>
      <w:bookmarkEnd w:id="1"/>
      <w:bookmarkEnd w:id="2"/>
      <w:bookmarkEnd w:id="3"/>
      <w:r w:rsidRPr="00AB7354">
        <w:rPr>
          <w:rFonts w:ascii="Century" w:hAnsi="Century"/>
          <w:b/>
          <w:bCs/>
          <w:color w:val="000000" w:themeColor="text1"/>
        </w:rPr>
        <w:t xml:space="preserve"> de correo electrónico: </w:t>
      </w:r>
      <w:hyperlink r:id="rId8" w:history="1">
        <w:r w:rsidRPr="00AB7354">
          <w:rPr>
            <w:rStyle w:val="Hipervnculo"/>
            <w:rFonts w:ascii="Century" w:hAnsi="Century"/>
            <w:b/>
            <w:bCs/>
            <w:color w:val="000000" w:themeColor="text1"/>
          </w:rPr>
          <w:t>compras@cecanot.com.do</w:t>
        </w:r>
      </w:hyperlink>
    </w:p>
    <w:p w14:paraId="36769272" w14:textId="77777777" w:rsidR="00AB7354" w:rsidRPr="00AB7354" w:rsidRDefault="00AB7354" w:rsidP="00AB7354">
      <w:pPr>
        <w:rPr>
          <w:rFonts w:ascii="Century" w:hAnsi="Century"/>
          <w:sz w:val="24"/>
          <w:szCs w:val="24"/>
          <w:lang w:val="es-ES" w:eastAsia="es-ES"/>
        </w:rPr>
      </w:pPr>
    </w:p>
    <w:p w14:paraId="7DDCF979" w14:textId="77777777" w:rsidR="00AB7354" w:rsidRPr="00AB7354" w:rsidRDefault="00AB7354" w:rsidP="00AB7354">
      <w:pPr>
        <w:pStyle w:val="Textoindependiente"/>
        <w:rPr>
          <w:rFonts w:ascii="Century" w:hAnsi="Century" w:cs="Arial"/>
          <w:color w:val="auto"/>
        </w:rPr>
      </w:pPr>
      <w:r w:rsidRPr="00AB7354">
        <w:rPr>
          <w:rFonts w:ascii="Century" w:hAnsi="Century" w:cs="Arial"/>
          <w:color w:val="auto"/>
        </w:rPr>
        <w:lastRenderedPageBreak/>
        <w:t>Las Consultas se remitirán al Comité de Compras y Contrataciones, dirigidas a:</w:t>
      </w:r>
    </w:p>
    <w:p w14:paraId="215BA3E6" w14:textId="77777777" w:rsidR="00AB7354" w:rsidRPr="00AB7354" w:rsidRDefault="00AB7354" w:rsidP="00AB7354">
      <w:pPr>
        <w:spacing w:after="0"/>
        <w:jc w:val="both"/>
        <w:rPr>
          <w:rFonts w:ascii="Century" w:hAnsi="Century" w:cs="Arial"/>
          <w:sz w:val="24"/>
          <w:szCs w:val="24"/>
        </w:rPr>
      </w:pPr>
    </w:p>
    <w:p w14:paraId="53AB7BA8" w14:textId="77777777" w:rsidR="00AB7354" w:rsidRPr="00AB7354" w:rsidRDefault="00AB7354" w:rsidP="00AB7354">
      <w:pPr>
        <w:spacing w:after="0"/>
        <w:rPr>
          <w:rFonts w:ascii="Century" w:hAnsi="Century" w:cs="Arial"/>
          <w:sz w:val="24"/>
          <w:szCs w:val="24"/>
        </w:rPr>
      </w:pPr>
      <w:r w:rsidRPr="00AB7354">
        <w:rPr>
          <w:rFonts w:ascii="Century" w:hAnsi="Century" w:cs="Arial"/>
          <w:sz w:val="24"/>
          <w:szCs w:val="24"/>
        </w:rPr>
        <w:t>COMITÉ DE COMPRAS Y CONTRATACIONES</w:t>
      </w:r>
    </w:p>
    <w:p w14:paraId="74B3B259" w14:textId="77777777" w:rsidR="00AB7354" w:rsidRPr="00AB7354" w:rsidRDefault="00AB7354" w:rsidP="00AB7354">
      <w:pPr>
        <w:spacing w:after="0"/>
        <w:rPr>
          <w:rFonts w:ascii="Century" w:hAnsi="Century" w:cs="Arial"/>
          <w:b/>
          <w:sz w:val="24"/>
          <w:szCs w:val="24"/>
        </w:rPr>
      </w:pPr>
      <w:r w:rsidRPr="00AB7354">
        <w:rPr>
          <w:rFonts w:ascii="Century" w:hAnsi="Century" w:cs="Arial"/>
          <w:b/>
          <w:sz w:val="24"/>
          <w:szCs w:val="24"/>
        </w:rPr>
        <w:t xml:space="preserve">Centro Cardio Neuro Oftalmológico y Trasplante </w:t>
      </w:r>
    </w:p>
    <w:p w14:paraId="2CCDE3C3" w14:textId="77777777" w:rsidR="00AB7354" w:rsidRPr="00AB7354" w:rsidRDefault="00AB7354" w:rsidP="00AB7354">
      <w:pPr>
        <w:spacing w:after="0"/>
        <w:rPr>
          <w:rFonts w:ascii="Century" w:hAnsi="Century" w:cs="Arial"/>
          <w:b/>
          <w:color w:val="800000"/>
          <w:sz w:val="24"/>
          <w:szCs w:val="24"/>
        </w:rPr>
      </w:pPr>
      <w:r w:rsidRPr="00AB7354">
        <w:rPr>
          <w:rFonts w:ascii="Century" w:hAnsi="Century" w:cs="Arial"/>
          <w:b/>
          <w:sz w:val="24"/>
          <w:szCs w:val="24"/>
        </w:rPr>
        <w:t>Dirección:</w:t>
      </w:r>
      <w:r w:rsidRPr="00AB7354">
        <w:rPr>
          <w:rFonts w:ascii="Century" w:hAnsi="Century" w:cs="Arial"/>
          <w:sz w:val="24"/>
          <w:szCs w:val="24"/>
        </w:rPr>
        <w:t xml:space="preserve"> Calle Federico Velásquez No. 1, sector María Auxiliadora</w:t>
      </w:r>
    </w:p>
    <w:p w14:paraId="71A78B2D" w14:textId="77777777" w:rsidR="00AB7354" w:rsidRPr="00AB7354" w:rsidRDefault="00AB7354" w:rsidP="00AB7354">
      <w:pPr>
        <w:spacing w:after="0"/>
        <w:rPr>
          <w:rFonts w:ascii="Century" w:hAnsi="Century" w:cs="Arial"/>
          <w:b/>
          <w:color w:val="800000"/>
          <w:sz w:val="24"/>
          <w:szCs w:val="24"/>
        </w:rPr>
      </w:pPr>
      <w:r w:rsidRPr="00AB7354">
        <w:rPr>
          <w:rFonts w:ascii="Century" w:hAnsi="Century" w:cs="Arial"/>
          <w:b/>
          <w:sz w:val="24"/>
          <w:szCs w:val="24"/>
        </w:rPr>
        <w:t>Teléfonos:</w:t>
      </w:r>
      <w:r w:rsidRPr="00AB7354">
        <w:rPr>
          <w:rFonts w:ascii="Century" w:hAnsi="Century" w:cs="Arial"/>
          <w:sz w:val="24"/>
          <w:szCs w:val="24"/>
        </w:rPr>
        <w:t xml:space="preserve"> (809) 681-0080 Ext. 230</w:t>
      </w:r>
    </w:p>
    <w:p w14:paraId="4393274C" w14:textId="77777777" w:rsidR="00AB7354" w:rsidRPr="00AB7354" w:rsidRDefault="00AB7354" w:rsidP="00AB7354">
      <w:pPr>
        <w:spacing w:after="0"/>
        <w:rPr>
          <w:rFonts w:ascii="Century" w:hAnsi="Century" w:cs="Arial"/>
          <w:sz w:val="24"/>
          <w:szCs w:val="24"/>
        </w:rPr>
      </w:pPr>
    </w:p>
    <w:p w14:paraId="7F576273"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AB7354">
        <w:rPr>
          <w:rFonts w:ascii="Century" w:hAnsi="Century" w:cs="Arial"/>
          <w:b/>
          <w:sz w:val="24"/>
          <w:szCs w:val="24"/>
        </w:rPr>
        <w:t xml:space="preserve"> SETENTA Y CINCO POR </w:t>
      </w:r>
      <w:proofErr w:type="gramStart"/>
      <w:r w:rsidRPr="00AB7354">
        <w:rPr>
          <w:rFonts w:ascii="Century" w:hAnsi="Century" w:cs="Arial"/>
          <w:b/>
          <w:sz w:val="24"/>
          <w:szCs w:val="24"/>
        </w:rPr>
        <w:t>CIENTO(</w:t>
      </w:r>
      <w:proofErr w:type="gramEnd"/>
      <w:r w:rsidRPr="00AB7354">
        <w:rPr>
          <w:rFonts w:ascii="Century" w:hAnsi="Century" w:cs="Arial"/>
          <w:b/>
          <w:sz w:val="24"/>
          <w:szCs w:val="24"/>
        </w:rPr>
        <w:t>75%)</w:t>
      </w:r>
      <w:r w:rsidRPr="00AB7354">
        <w:rPr>
          <w:rFonts w:ascii="Century" w:hAnsi="Century" w:cs="Arial"/>
          <w:sz w:val="24"/>
          <w:szCs w:val="24"/>
        </w:rPr>
        <w:t xml:space="preserve"> del plazo previsto para la presentación de las Ofertas y deberán ser notificadas a todos los Oferentes que hayan adquirido el Pliego de Condiciones Específicas y publicadas en el portal institucional y en el administrado por el Órgano Rector.</w:t>
      </w:r>
    </w:p>
    <w:p w14:paraId="5668DFCB" w14:textId="77777777" w:rsidR="00AB7354" w:rsidRPr="00AB7354" w:rsidRDefault="00AB7354" w:rsidP="00AB7354">
      <w:pPr>
        <w:pStyle w:val="Ttulo3"/>
        <w:keepLines w:val="0"/>
        <w:tabs>
          <w:tab w:val="left" w:pos="7920"/>
          <w:tab w:val="left" w:pos="9895"/>
        </w:tabs>
        <w:autoSpaceDE w:val="0"/>
        <w:autoSpaceDN w:val="0"/>
        <w:adjustRightInd w:val="0"/>
        <w:spacing w:before="0" w:line="240" w:lineRule="auto"/>
        <w:rPr>
          <w:rFonts w:ascii="Century" w:hAnsi="Century"/>
          <w:b/>
          <w:bCs/>
          <w:color w:val="000000" w:themeColor="text1"/>
        </w:rPr>
      </w:pPr>
      <w:bookmarkStart w:id="4" w:name="_Toc379797386"/>
      <w:bookmarkStart w:id="5" w:name="_Toc185953157"/>
      <w:bookmarkStart w:id="6" w:name="_Toc159673584"/>
      <w:r w:rsidRPr="00AB7354">
        <w:rPr>
          <w:rFonts w:ascii="Century" w:hAnsi="Century"/>
          <w:b/>
          <w:bCs/>
          <w:color w:val="000000" w:themeColor="text1"/>
        </w:rPr>
        <w:t xml:space="preserve"> Circulares</w:t>
      </w:r>
      <w:bookmarkEnd w:id="4"/>
      <w:bookmarkEnd w:id="5"/>
      <w:bookmarkEnd w:id="6"/>
    </w:p>
    <w:p w14:paraId="105E5F11"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0F71CD5F" w14:textId="77777777" w:rsidR="00AB7354" w:rsidRPr="00AB7354" w:rsidRDefault="00AB7354" w:rsidP="00AB7354">
      <w:pPr>
        <w:pStyle w:val="Ttulo3"/>
        <w:keepLines w:val="0"/>
        <w:tabs>
          <w:tab w:val="left" w:pos="7920"/>
          <w:tab w:val="left" w:pos="9895"/>
        </w:tabs>
        <w:autoSpaceDE w:val="0"/>
        <w:autoSpaceDN w:val="0"/>
        <w:adjustRightInd w:val="0"/>
        <w:spacing w:before="0" w:line="240" w:lineRule="auto"/>
        <w:ind w:left="785"/>
        <w:rPr>
          <w:rFonts w:ascii="Century" w:hAnsi="Century"/>
          <w:b/>
          <w:bCs/>
          <w:color w:val="000000" w:themeColor="text1"/>
        </w:rPr>
      </w:pPr>
      <w:bookmarkStart w:id="7" w:name="_Toc379797387"/>
      <w:bookmarkStart w:id="8" w:name="_Toc185953158"/>
      <w:bookmarkStart w:id="9" w:name="_Toc159673585"/>
      <w:r w:rsidRPr="00AB7354">
        <w:rPr>
          <w:rFonts w:ascii="Century" w:hAnsi="Century"/>
          <w:b/>
          <w:bCs/>
          <w:color w:val="000000" w:themeColor="text1"/>
        </w:rPr>
        <w:t xml:space="preserve"> Enmiendas</w:t>
      </w:r>
      <w:bookmarkEnd w:id="7"/>
      <w:bookmarkEnd w:id="8"/>
      <w:bookmarkEnd w:id="9"/>
    </w:p>
    <w:p w14:paraId="1BE05FD9"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09C9D35D"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 xml:space="preserve">Tanto las Enmiendas como las Circulares emitidas por el Comité de Compras y Contrataciones pasarán a constituir parte integral del Pliego de Condiciones </w:t>
      </w:r>
      <w:proofErr w:type="gramStart"/>
      <w:r w:rsidRPr="00AB7354">
        <w:rPr>
          <w:rFonts w:ascii="Century" w:hAnsi="Century" w:cs="Arial"/>
          <w:sz w:val="24"/>
          <w:szCs w:val="24"/>
        </w:rPr>
        <w:t>y</w:t>
      </w:r>
      <w:proofErr w:type="gramEnd"/>
      <w:r w:rsidRPr="00AB7354">
        <w:rPr>
          <w:rFonts w:ascii="Century" w:hAnsi="Century" w:cs="Arial"/>
          <w:sz w:val="24"/>
          <w:szCs w:val="24"/>
        </w:rPr>
        <w:t xml:space="preserve"> </w:t>
      </w:r>
      <w:r w:rsidRPr="00AB7354">
        <w:rPr>
          <w:rFonts w:ascii="Century" w:hAnsi="Century" w:cs="Arial"/>
          <w:sz w:val="24"/>
          <w:szCs w:val="24"/>
        </w:rPr>
        <w:lastRenderedPageBreak/>
        <w:t>en consecuencia, serán de cumplimiento obligatorio para todos los Oferentes/Proponentes.</w:t>
      </w:r>
    </w:p>
    <w:p w14:paraId="05BDB7CF" w14:textId="77777777" w:rsidR="00AB7354" w:rsidRPr="00AB7354" w:rsidRDefault="00AB7354" w:rsidP="00AB7354">
      <w:pPr>
        <w:pStyle w:val="Textoindependiente"/>
        <w:rPr>
          <w:rFonts w:ascii="Century" w:hAnsi="Century" w:cs="Arial"/>
        </w:rPr>
      </w:pPr>
    </w:p>
    <w:p w14:paraId="117110A5" w14:textId="39F64FA7"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0" w:name="_Toc271530532"/>
      <w:bookmarkStart w:id="11" w:name="_Toc410128616"/>
      <w:r w:rsidRPr="00AB7354">
        <w:rPr>
          <w:rFonts w:ascii="Century" w:eastAsia="Times New Roman" w:hAnsi="Century" w:cs="Arial"/>
          <w:b/>
          <w:bCs/>
          <w:sz w:val="24"/>
          <w:szCs w:val="24"/>
          <w:lang w:val="es-ES" w:eastAsia="es-ES"/>
        </w:rPr>
        <w:t xml:space="preserve">Criterios de </w:t>
      </w:r>
      <w:bookmarkEnd w:id="10"/>
      <w:r w:rsidRPr="00AB7354">
        <w:rPr>
          <w:rFonts w:ascii="Century" w:eastAsia="Times New Roman" w:hAnsi="Century" w:cs="Arial"/>
          <w:b/>
          <w:bCs/>
          <w:sz w:val="24"/>
          <w:szCs w:val="24"/>
          <w:lang w:val="es-ES" w:eastAsia="es-ES"/>
        </w:rPr>
        <w:t>Evaluación</w:t>
      </w:r>
      <w:bookmarkEnd w:id="11"/>
    </w:p>
    <w:p w14:paraId="3998461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Las Propuestas deberán contener la documentación necesaria, suficiente y fehaciente para demostrar los siguientes aspectos que serán verificados bajo la modalidad “CUMPLE/ NO CUMPLE”:</w:t>
      </w:r>
    </w:p>
    <w:p w14:paraId="21C6748B"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Elegibilidad: Que el Proponente está legalmente autorizado para realizar sus actividades comerciales en el país.</w:t>
      </w:r>
    </w:p>
    <w:p w14:paraId="5571C034"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Capacidad Técnica: Que los Bienes cumplan con las todas características especificadas en las Fichas Técnicas. </w:t>
      </w:r>
    </w:p>
    <w:p w14:paraId="521616DB" w14:textId="7E345D90"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2" w:name="_Toc410128617"/>
      <w:bookmarkStart w:id="13" w:name="_Toc271530533"/>
      <w:r w:rsidRPr="00AB7354">
        <w:rPr>
          <w:rFonts w:ascii="Century" w:eastAsia="Times New Roman" w:hAnsi="Century" w:cs="Arial"/>
          <w:b/>
          <w:bCs/>
          <w:sz w:val="24"/>
          <w:szCs w:val="24"/>
          <w:lang w:val="es-ES" w:eastAsia="es-ES"/>
        </w:rPr>
        <w:t>Fase de Homologación</w:t>
      </w:r>
      <w:bookmarkEnd w:id="12"/>
      <w:bookmarkEnd w:id="13"/>
    </w:p>
    <w:p w14:paraId="3477B636" w14:textId="77777777" w:rsidR="00AB7354" w:rsidRPr="00AB7354" w:rsidRDefault="00AB7354" w:rsidP="00AB7354">
      <w:pPr>
        <w:jc w:val="both"/>
        <w:rPr>
          <w:rFonts w:ascii="Century" w:eastAsia="Calibri" w:hAnsi="Century" w:cs="Arial"/>
          <w:color w:val="000000" w:themeColor="text1"/>
          <w:sz w:val="24"/>
          <w:szCs w:val="24"/>
        </w:rPr>
      </w:pPr>
      <w:r w:rsidRPr="00AB7354">
        <w:rPr>
          <w:rFonts w:ascii="Century" w:eastAsia="Calibri" w:hAnsi="Century" w:cs="Arial"/>
          <w:color w:val="000000" w:themeColor="text1"/>
          <w:sz w:val="24"/>
          <w:szCs w:val="24"/>
        </w:rPr>
        <w:t>Una vez concluida la recepción de los “Sobres A”, se procederá a la valoración de las muestras, si aplica, de acuerdo con las especificaciones requeridas en las Fichas Técnicas y a la ponderación de la documentación solicitada al efecto, bajo la modalidad “CUMPLE/ NO CUMPLE”.</w:t>
      </w:r>
    </w:p>
    <w:p w14:paraId="6F96099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Para que un Bien pueda ser considerado CONFORME, deberá cumplir con todas y cada una de las características contenidas en las referidas Fichas Técnicas. Es decir que, el no cumplimiento en una de las especificaciones implica la descalificación de la Oferta y la declaración de NO CONFORME del Bien ofertado.</w:t>
      </w:r>
    </w:p>
    <w:p w14:paraId="69FB9743"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Los Peritos levantarán un informe donde se indicará el cumplimiento o no de las Especificaciones Técnicas de cada uno de los Bienes ofertados, bajo el criterio de CONFORME/ NO CONFORME. En el caso de no cumplimiento indicará, de forma individualizada las razones.  </w:t>
      </w:r>
    </w:p>
    <w:p w14:paraId="73E6CD43"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Los Peritos emitirán su informe al Comité de Compras y Contrataciones sobre los resultados de la evaluación de las Propuestas Técnicas “Sobre A”, a los fines de la recomendación final.</w:t>
      </w:r>
    </w:p>
    <w:p w14:paraId="785D8111"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lastRenderedPageBreak/>
        <w:t>El Comité de Compras y Contrataciones evaluará y comparará únicamente las Ofertas que se ajustan sustancialmente al presente Pliego de Condiciones Específicas y que hayan sido evaluadas técnicamente como CONFORME, bajo el criterio del menor precio ofertado.</w:t>
      </w:r>
    </w:p>
    <w:p w14:paraId="06058D70" w14:textId="395A9AB3"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4" w:name="_Toc410128624"/>
      <w:r w:rsidRPr="00AB7354">
        <w:rPr>
          <w:rFonts w:ascii="Century" w:eastAsia="Times New Roman" w:hAnsi="Century" w:cs="Arial"/>
          <w:b/>
          <w:bCs/>
          <w:sz w:val="24"/>
          <w:szCs w:val="24"/>
          <w:lang w:val="es-ES" w:eastAsia="es-ES"/>
        </w:rPr>
        <w:t>Criterios de Adjudicación</w:t>
      </w:r>
      <w:bookmarkEnd w:id="14"/>
    </w:p>
    <w:p w14:paraId="1E0FC247"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El Comité de Compras y Contrataciones evaluará las Ofertas dando cumplimiento a los principios de transparencia, objetividad, economía, celeridad y demás, que regulan la actividad contractual, y comunicará por escrito al Oferente/Proponente que resulte favorecido. Al efecto, se tendrán en cuenta los factores económicos y técnicos más favorables. </w:t>
      </w:r>
    </w:p>
    <w:p w14:paraId="5D9CE74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La Adjudicación será decidida a favor del Oferente/Proponente cuya propuesta cumpla con los requisitos exigidos y sea calificada como la más conveniente para los intereses institucionales, teniendo en cuenta el precio, la calidad, y las demás condiciones que se establecen en el presente Pliego de Condiciones Específicas.</w:t>
      </w:r>
    </w:p>
    <w:p w14:paraId="67622FB7"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Si se presentase una sola Oferta, ella deberá ser considerada y se procederá a la Adjudicación, si habiendo cumplido con lo exigido en el Pliego de Condiciones Específicas, se le considera conveniente a los intereses de la Institución.</w:t>
      </w:r>
    </w:p>
    <w:p w14:paraId="3CCD68E8" w14:textId="77777777" w:rsidR="00AB7354" w:rsidRPr="00AB7354" w:rsidRDefault="00AB7354" w:rsidP="00AB7354">
      <w:pPr>
        <w:pStyle w:val="Textoindependiente"/>
        <w:rPr>
          <w:rFonts w:ascii="Century" w:hAnsi="Century" w:cs="Arial"/>
        </w:rPr>
      </w:pPr>
    </w:p>
    <w:p w14:paraId="2F3E5590" w14:textId="77777777" w:rsidR="00AB7354" w:rsidRPr="00AB7354" w:rsidRDefault="00AB7354" w:rsidP="00AB7354">
      <w:pPr>
        <w:pStyle w:val="Textoindependiente"/>
        <w:rPr>
          <w:rFonts w:ascii="Century" w:hAnsi="Century" w:cs="Arial"/>
          <w:b/>
        </w:rPr>
      </w:pPr>
      <w:r w:rsidRPr="00AB7354">
        <w:rPr>
          <w:rFonts w:ascii="Century" w:hAnsi="Century" w:cs="Arial"/>
          <w:b/>
        </w:rPr>
        <w:t>No se considerarán válidas las Ofertas Técnicas de aquellos productos de los que no se hayan recibido las muestras correspondientes.</w:t>
      </w:r>
    </w:p>
    <w:p w14:paraId="05654185" w14:textId="77777777" w:rsidR="00AB7354" w:rsidRPr="00AB7354" w:rsidRDefault="00AB7354" w:rsidP="00AB7354">
      <w:pPr>
        <w:pStyle w:val="Textoindependiente"/>
        <w:rPr>
          <w:rFonts w:ascii="Century" w:hAnsi="Century" w:cs="Arial"/>
          <w:b/>
        </w:rPr>
      </w:pPr>
    </w:p>
    <w:p w14:paraId="188F3461" w14:textId="77777777" w:rsidR="00AB7354" w:rsidRPr="00AB7354" w:rsidRDefault="00AB7354" w:rsidP="00AB7354">
      <w:pPr>
        <w:pStyle w:val="Textoindependiente"/>
        <w:rPr>
          <w:rFonts w:ascii="Century" w:hAnsi="Century" w:cs="Arial"/>
          <w:b/>
          <w:bCs/>
        </w:rPr>
      </w:pPr>
      <w:r w:rsidRPr="00AB7354">
        <w:rPr>
          <w:rFonts w:ascii="Century" w:hAnsi="Century" w:cs="Arial"/>
          <w:b/>
          <w:bCs/>
        </w:rPr>
        <w:t>Deberán presentar el Formulario de Entrega de Muestras.</w:t>
      </w:r>
    </w:p>
    <w:p w14:paraId="63C3E513" w14:textId="77777777" w:rsidR="00941FEB" w:rsidRPr="00AB7354" w:rsidRDefault="00941FEB" w:rsidP="00AB7354">
      <w:pPr>
        <w:spacing w:after="0" w:line="240" w:lineRule="auto"/>
        <w:ind w:left="720"/>
        <w:jc w:val="both"/>
        <w:rPr>
          <w:rFonts w:ascii="Century" w:hAnsi="Century"/>
          <w:sz w:val="24"/>
          <w:szCs w:val="24"/>
          <w:lang w:val="es-ES" w:eastAsia="es-ES"/>
        </w:rPr>
      </w:pPr>
    </w:p>
    <w:p w14:paraId="6D3805AE"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648A52E6" w14:textId="7197ECF1" w:rsidR="00941FEB" w:rsidRDefault="00941FEB" w:rsidP="00B24A80">
      <w:pPr>
        <w:spacing w:after="0" w:line="240" w:lineRule="auto"/>
        <w:jc w:val="both"/>
        <w:rPr>
          <w:rFonts w:ascii="Century" w:eastAsia="Times New Roman" w:hAnsi="Century" w:cs="Tahoma"/>
          <w:b/>
          <w:sz w:val="24"/>
          <w:szCs w:val="24"/>
          <w:lang w:val="es-ES" w:eastAsia="es-ES"/>
        </w:rPr>
      </w:pPr>
    </w:p>
    <w:p w14:paraId="6C69D0AF" w14:textId="3277C296" w:rsidR="00A4405B" w:rsidRDefault="00A4405B" w:rsidP="00B24A80">
      <w:pPr>
        <w:spacing w:after="0" w:line="240" w:lineRule="auto"/>
        <w:jc w:val="both"/>
        <w:rPr>
          <w:rFonts w:ascii="Century" w:eastAsia="Times New Roman" w:hAnsi="Century" w:cs="Tahoma"/>
          <w:b/>
          <w:sz w:val="24"/>
          <w:szCs w:val="24"/>
          <w:lang w:val="es-ES" w:eastAsia="es-ES"/>
        </w:rPr>
      </w:pPr>
    </w:p>
    <w:p w14:paraId="3770B575" w14:textId="79EE0F7C" w:rsidR="00A4405B" w:rsidRDefault="00A4405B" w:rsidP="00B24A80">
      <w:pPr>
        <w:spacing w:after="0" w:line="240" w:lineRule="auto"/>
        <w:jc w:val="both"/>
        <w:rPr>
          <w:rFonts w:ascii="Century" w:eastAsia="Times New Roman" w:hAnsi="Century" w:cs="Tahoma"/>
          <w:b/>
          <w:sz w:val="24"/>
          <w:szCs w:val="24"/>
          <w:lang w:val="es-ES" w:eastAsia="es-ES"/>
        </w:rPr>
      </w:pPr>
    </w:p>
    <w:p w14:paraId="3CD4FAEA" w14:textId="51AAA804" w:rsidR="00A4405B" w:rsidRDefault="00A4405B" w:rsidP="00B24A80">
      <w:pPr>
        <w:spacing w:after="0" w:line="240" w:lineRule="auto"/>
        <w:jc w:val="both"/>
        <w:rPr>
          <w:rFonts w:ascii="Century" w:eastAsia="Times New Roman" w:hAnsi="Century" w:cs="Tahoma"/>
          <w:b/>
          <w:sz w:val="24"/>
          <w:szCs w:val="24"/>
          <w:lang w:val="es-ES" w:eastAsia="es-ES"/>
        </w:rPr>
      </w:pPr>
    </w:p>
    <w:p w14:paraId="1AFC8676" w14:textId="64BF0AA5" w:rsidR="00A4405B" w:rsidRDefault="00A4405B" w:rsidP="00B24A80">
      <w:pPr>
        <w:spacing w:after="0" w:line="240" w:lineRule="auto"/>
        <w:jc w:val="both"/>
        <w:rPr>
          <w:rFonts w:ascii="Century" w:eastAsia="Times New Roman" w:hAnsi="Century" w:cs="Tahoma"/>
          <w:b/>
          <w:sz w:val="24"/>
          <w:szCs w:val="24"/>
          <w:lang w:val="es-ES" w:eastAsia="es-ES"/>
        </w:rPr>
      </w:pPr>
    </w:p>
    <w:p w14:paraId="10085B79" w14:textId="2BA9EA47" w:rsidR="00A4405B" w:rsidRDefault="00A4405B" w:rsidP="00B24A80">
      <w:pPr>
        <w:spacing w:after="0" w:line="240" w:lineRule="auto"/>
        <w:jc w:val="both"/>
        <w:rPr>
          <w:rFonts w:ascii="Century" w:eastAsia="Times New Roman" w:hAnsi="Century" w:cs="Tahoma"/>
          <w:b/>
          <w:sz w:val="24"/>
          <w:szCs w:val="24"/>
          <w:lang w:val="es-ES" w:eastAsia="es-ES"/>
        </w:rPr>
      </w:pPr>
    </w:p>
    <w:p w14:paraId="308D7DE9" w14:textId="3F241E80" w:rsidR="00A4405B" w:rsidRDefault="00A4405B" w:rsidP="00B24A80">
      <w:pPr>
        <w:spacing w:after="0" w:line="240" w:lineRule="auto"/>
        <w:jc w:val="both"/>
        <w:rPr>
          <w:rFonts w:ascii="Century" w:eastAsia="Times New Roman" w:hAnsi="Century" w:cs="Tahoma"/>
          <w:b/>
          <w:sz w:val="24"/>
          <w:szCs w:val="24"/>
          <w:lang w:val="es-ES" w:eastAsia="es-ES"/>
        </w:rPr>
      </w:pPr>
    </w:p>
    <w:p w14:paraId="67B2D995" w14:textId="77777777" w:rsidR="00A4405B" w:rsidRPr="00AB7354" w:rsidRDefault="00A4405B" w:rsidP="00B24A80">
      <w:pPr>
        <w:spacing w:after="0" w:line="240" w:lineRule="auto"/>
        <w:jc w:val="both"/>
        <w:rPr>
          <w:rFonts w:ascii="Century" w:eastAsia="Times New Roman" w:hAnsi="Century" w:cs="Tahoma"/>
          <w:b/>
          <w:sz w:val="24"/>
          <w:szCs w:val="24"/>
          <w:lang w:val="es-ES" w:eastAsia="es-ES"/>
        </w:rPr>
      </w:pPr>
    </w:p>
    <w:p w14:paraId="299B2D4E" w14:textId="77777777" w:rsidR="00941FEB" w:rsidRPr="00AB7354" w:rsidRDefault="00A237EE" w:rsidP="00941FEB">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lastRenderedPageBreak/>
        <w:t xml:space="preserve">      </w:t>
      </w:r>
      <w:r w:rsidR="00B24A80"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ab/>
      </w:r>
      <w:r w:rsidR="00941FEB" w:rsidRPr="00AB7354">
        <w:rPr>
          <w:rFonts w:ascii="Century" w:eastAsia="Times New Roman" w:hAnsi="Century" w:cs="Tahoma"/>
          <w:b/>
          <w:sz w:val="24"/>
          <w:szCs w:val="24"/>
          <w:lang w:val="es-ES" w:eastAsia="es-ES"/>
        </w:rPr>
        <w:tab/>
      </w:r>
      <w:r w:rsidR="00B24A80" w:rsidRPr="00AB7354">
        <w:rPr>
          <w:rFonts w:ascii="Century" w:eastAsia="Times New Roman" w:hAnsi="Century" w:cs="Tahoma"/>
          <w:b/>
          <w:sz w:val="24"/>
          <w:szCs w:val="24"/>
          <w:lang w:val="es-ES" w:eastAsia="es-ES"/>
        </w:rPr>
        <w:t xml:space="preserve">Nota aclaratoria </w:t>
      </w:r>
    </w:p>
    <w:p w14:paraId="4125C474" w14:textId="77777777" w:rsidR="00C22878" w:rsidRPr="00AB7354" w:rsidRDefault="00C22878" w:rsidP="00B24A80">
      <w:pPr>
        <w:spacing w:after="0" w:line="240" w:lineRule="auto"/>
        <w:jc w:val="both"/>
        <w:rPr>
          <w:rFonts w:ascii="Century" w:eastAsia="Times New Roman" w:hAnsi="Century" w:cs="Tahoma"/>
          <w:bCs/>
          <w:sz w:val="24"/>
          <w:szCs w:val="24"/>
          <w:lang w:val="es-ES" w:eastAsia="es-ES"/>
        </w:rPr>
      </w:pPr>
    </w:p>
    <w:p w14:paraId="60EE7C0B" w14:textId="77777777" w:rsidR="00A237EE" w:rsidRPr="00AB7354" w:rsidRDefault="00C22878" w:rsidP="00A237EE">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Los productos ofertados deben ser de calidad y marcas reconocidas.</w:t>
      </w:r>
    </w:p>
    <w:p w14:paraId="38198D09" w14:textId="77777777" w:rsidR="00C22878" w:rsidRPr="00AB7354" w:rsidRDefault="00C22878" w:rsidP="00A237EE">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Productos frescos con un mínimo de vencimiento de 3 meses para los que apliquen. </w:t>
      </w:r>
    </w:p>
    <w:p w14:paraId="47446058" w14:textId="77777777" w:rsidR="00C22878" w:rsidRPr="00AB7354" w:rsidRDefault="00C22878" w:rsidP="00C22878">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El requerimiento de las muestras es con el fin de evaluar la calidad de los productos ofertados por los participantes, al momento de despachar, lo solicitado debe coincidir con las muestras entregadas.</w:t>
      </w:r>
    </w:p>
    <w:p w14:paraId="2530F426" w14:textId="77777777" w:rsidR="00E10895" w:rsidRPr="00AB7354" w:rsidRDefault="00E10895" w:rsidP="00C22878">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Las muestras no tienen devolución</w:t>
      </w:r>
      <w:r w:rsidR="00614100"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 xml:space="preserve"> </w:t>
      </w:r>
    </w:p>
    <w:p w14:paraId="14400851" w14:textId="1222D338" w:rsidR="00941FEB" w:rsidRPr="00A4405B" w:rsidRDefault="00B24A80" w:rsidP="00D76991">
      <w:pPr>
        <w:pStyle w:val="Prrafodelista"/>
        <w:numPr>
          <w:ilvl w:val="0"/>
          <w:numId w:val="2"/>
        </w:numPr>
        <w:spacing w:after="0" w:line="240" w:lineRule="auto"/>
        <w:jc w:val="both"/>
        <w:rPr>
          <w:rFonts w:ascii="Century" w:eastAsia="Times New Roman" w:hAnsi="Century" w:cs="Tahoma"/>
          <w:bCs/>
          <w:sz w:val="24"/>
          <w:szCs w:val="24"/>
          <w:lang w:val="es-ES" w:eastAsia="es-ES"/>
        </w:rPr>
      </w:pPr>
      <w:r w:rsidRPr="00A4405B">
        <w:rPr>
          <w:rFonts w:ascii="Century" w:eastAsia="Times New Roman" w:hAnsi="Century" w:cs="Tahoma"/>
          <w:bCs/>
          <w:sz w:val="24"/>
          <w:szCs w:val="24"/>
          <w:lang w:val="es-ES" w:eastAsia="es-ES"/>
        </w:rPr>
        <w:t xml:space="preserve">Las entregas serán fraccionadas, </w:t>
      </w:r>
      <w:r w:rsidR="00A4405B">
        <w:rPr>
          <w:rFonts w:ascii="Century" w:eastAsia="Times New Roman" w:hAnsi="Century" w:cs="Tahoma"/>
          <w:bCs/>
          <w:sz w:val="24"/>
          <w:szCs w:val="24"/>
          <w:lang w:val="es-ES" w:eastAsia="es-ES"/>
        </w:rPr>
        <w:t>50% de lo adjudicado con la orden y el restante a solicitud del encargado del área solicitada</w:t>
      </w:r>
    </w:p>
    <w:p w14:paraId="778BC09F" w14:textId="77777777" w:rsidR="00876FED" w:rsidRPr="00AB7354" w:rsidRDefault="00876FED" w:rsidP="00876FED">
      <w:pPr>
        <w:spacing w:after="0" w:line="240" w:lineRule="auto"/>
        <w:jc w:val="both"/>
        <w:rPr>
          <w:rFonts w:ascii="Century" w:eastAsia="Times New Roman" w:hAnsi="Century" w:cs="Tahoma"/>
          <w:bCs/>
          <w:sz w:val="24"/>
          <w:szCs w:val="24"/>
          <w:lang w:val="es-ES" w:eastAsia="es-ES"/>
        </w:rPr>
      </w:pPr>
    </w:p>
    <w:p w14:paraId="4769929D" w14:textId="77777777" w:rsidR="00876FED" w:rsidRPr="00AB7354" w:rsidRDefault="00876FED" w:rsidP="00876FED">
      <w:pPr>
        <w:spacing w:after="0" w:line="240" w:lineRule="auto"/>
        <w:jc w:val="both"/>
        <w:rPr>
          <w:rFonts w:ascii="Century" w:eastAsia="Times New Roman" w:hAnsi="Century" w:cs="Tahoma"/>
          <w:bCs/>
          <w:sz w:val="24"/>
          <w:szCs w:val="24"/>
          <w:lang w:val="es-ES" w:eastAsia="es-ES"/>
        </w:rPr>
      </w:pPr>
      <w:bookmarkStart w:id="15" w:name="_GoBack"/>
      <w:bookmarkEnd w:id="15"/>
    </w:p>
    <w:p w14:paraId="382A7ECE" w14:textId="77777777" w:rsidR="00876FED" w:rsidRPr="00AB7354" w:rsidRDefault="00941FEB" w:rsidP="00876FED">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ANEXO </w:t>
      </w:r>
      <w:r w:rsidR="00876FED" w:rsidRPr="00AB7354">
        <w:rPr>
          <w:rFonts w:ascii="Century" w:eastAsia="Times New Roman" w:hAnsi="Century" w:cs="Tahoma"/>
          <w:b/>
          <w:sz w:val="24"/>
          <w:szCs w:val="24"/>
          <w:lang w:val="es-ES" w:eastAsia="es-ES"/>
        </w:rPr>
        <w:t xml:space="preserve">LISTADO DE PRODUCTOS SOLICITADOS </w:t>
      </w:r>
    </w:p>
    <w:p w14:paraId="514F82A5" w14:textId="77777777" w:rsidR="00644153" w:rsidRPr="00AB7354" w:rsidRDefault="00644153" w:rsidP="00AA4536">
      <w:pPr>
        <w:spacing w:after="0" w:line="240" w:lineRule="auto"/>
        <w:jc w:val="both"/>
        <w:rPr>
          <w:rFonts w:ascii="Century" w:eastAsia="Times New Roman" w:hAnsi="Century" w:cs="Tahoma"/>
          <w:bCs/>
          <w:sz w:val="24"/>
          <w:szCs w:val="24"/>
          <w:lang w:val="es-ES" w:eastAsia="es-ES"/>
        </w:rPr>
      </w:pPr>
    </w:p>
    <w:sectPr w:rsidR="00644153" w:rsidRPr="00AB7354" w:rsidSect="00C504AA">
      <w:headerReference w:type="default" r:id="rId9"/>
      <w:footerReference w:type="default" r:id="rId10"/>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9F4FC" w14:textId="77777777" w:rsidR="00905A97" w:rsidRDefault="00905A97" w:rsidP="00E839EC">
      <w:pPr>
        <w:spacing w:after="0" w:line="240" w:lineRule="auto"/>
      </w:pPr>
      <w:r>
        <w:separator/>
      </w:r>
    </w:p>
  </w:endnote>
  <w:endnote w:type="continuationSeparator" w:id="0">
    <w:p w14:paraId="308D7043" w14:textId="77777777" w:rsidR="00905A97" w:rsidRDefault="00905A97" w:rsidP="00E83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5C0A7" w14:textId="77777777" w:rsidR="00E839EC" w:rsidRDefault="007A52EF" w:rsidP="00E839EC">
    <w:pPr>
      <w:pStyle w:val="Piedepgina"/>
      <w:rPr>
        <w:noProof/>
        <w:color w:val="006666"/>
      </w:rPr>
    </w:pPr>
    <w:r>
      <w:rPr>
        <w:noProof/>
        <w:color w:val="006666"/>
      </w:rPr>
      <mc:AlternateContent>
        <mc:Choice Requires="wps">
          <w:drawing>
            <wp:anchor distT="0" distB="0" distL="114300" distR="114300" simplePos="0" relativeHeight="251663360" behindDoc="0" locked="0" layoutInCell="1" allowOverlap="1" wp14:anchorId="323172C3" wp14:editId="2E0C5E42">
              <wp:simplePos x="0" y="0"/>
              <wp:positionH relativeFrom="column">
                <wp:posOffset>-914400</wp:posOffset>
              </wp:positionH>
              <wp:positionV relativeFrom="paragraph">
                <wp:posOffset>107950</wp:posOffset>
              </wp:positionV>
              <wp:extent cx="7792720" cy="13335"/>
              <wp:effectExtent l="57150" t="76200" r="36830" b="81915"/>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7C5A5734" id="3 Conector recto"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" strokecolor="#066" strokeweight="6pt">
              <v:shadow on="t" color="black" opacity="24903f" origin=",.5" offset="0,.55556mm"/>
              <o:lock v:ext="edit" shapetype="f"/>
            </v:line>
          </w:pict>
        </mc:Fallback>
      </mc:AlternateContent>
    </w:r>
  </w:p>
  <w:p w14:paraId="276C7533" w14:textId="77777777" w:rsidR="00E839EC" w:rsidRDefault="007A52EF" w:rsidP="00E839EC">
    <w:pPr>
      <w:pStyle w:val="Piedepgina"/>
      <w:jc w:val="center"/>
      <w:rPr>
        <w:noProof/>
        <w:color w:val="006666"/>
      </w:rPr>
    </w:pPr>
    <w:r>
      <w:rPr>
        <w:noProof/>
        <w:color w:val="006666"/>
      </w:rPr>
      <mc:AlternateContent>
        <mc:Choice Requires="wps">
          <w:drawing>
            <wp:anchor distT="0" distB="0" distL="114300" distR="114300" simplePos="0" relativeHeight="251662336" behindDoc="0" locked="0" layoutInCell="1" allowOverlap="1" wp14:anchorId="2B88E564" wp14:editId="3DD4F7E2">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66CEE238" id="72 Conector recto"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06D8F7A7" w14:textId="77777777" w:rsidR="00E839EC" w:rsidRDefault="00E839EC" w:rsidP="00E839EC">
    <w:pPr>
      <w:pStyle w:val="Piedepgina"/>
      <w:jc w:val="center"/>
      <w:rPr>
        <w:noProof/>
        <w:color w:val="006666"/>
      </w:rPr>
    </w:pPr>
  </w:p>
  <w:p w14:paraId="4CA17824" w14:textId="77777777" w:rsidR="00E839EC" w:rsidRDefault="00E839EC" w:rsidP="00E839EC">
    <w:pPr>
      <w:pStyle w:val="Piedepgina"/>
      <w:jc w:val="center"/>
      <w:rPr>
        <w:rFonts w:ascii="Calibri" w:eastAsia="Calibri" w:hAnsi="Calibri" w:cs="Times New Roman"/>
        <w:b/>
        <w:sz w:val="16"/>
        <w:szCs w:val="16"/>
      </w:rPr>
    </w:pPr>
    <w:r>
      <w:rPr>
        <w:rFonts w:ascii="Calibri" w:eastAsia="Calibri" w:hAnsi="Calibri" w:cs="Times New Roman"/>
        <w:b/>
        <w:sz w:val="16"/>
        <w:szCs w:val="16"/>
      </w:rPr>
      <w:t>Calle Federico Velázquez No.1, María Auxiliadora, Santo Domingo, D.N., Rep. Dom. Tel. 809-681-0080/Fax. 809-845-4765</w:t>
    </w:r>
  </w:p>
  <w:p w14:paraId="698AD8F0" w14:textId="77777777" w:rsidR="00E839EC" w:rsidRPr="0023567C" w:rsidRDefault="00E839EC" w:rsidP="00E839EC">
    <w:pPr>
      <w:pStyle w:val="Piedepgina"/>
      <w:jc w:val="center"/>
      <w:rPr>
        <w:b/>
        <w:sz w:val="16"/>
        <w:szCs w:val="16"/>
      </w:rPr>
    </w:pPr>
    <w:proofErr w:type="spellStart"/>
    <w:r>
      <w:rPr>
        <w:rFonts w:ascii="Calibri" w:eastAsia="Calibri" w:hAnsi="Calibri" w:cs="Times New Roman"/>
        <w:b/>
        <w:sz w:val="16"/>
        <w:szCs w:val="16"/>
      </w:rPr>
      <w:t>Website</w:t>
    </w:r>
    <w:proofErr w:type="spellEnd"/>
    <w:r>
      <w:rPr>
        <w:rFonts w:ascii="Calibri" w:eastAsia="Calibri" w:hAnsi="Calibri" w:cs="Times New Roman"/>
        <w:b/>
        <w:sz w:val="16"/>
        <w:szCs w:val="16"/>
      </w:rPr>
      <w:t>: WWWW.Cecanot.com.do/ E-Mail: dirección@cecanot.com.do</w:t>
    </w:r>
  </w:p>
  <w:p w14:paraId="0EB1638E" w14:textId="77777777" w:rsidR="00E839EC" w:rsidRDefault="00E839E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3DDAA" w14:textId="77777777" w:rsidR="00905A97" w:rsidRDefault="00905A97" w:rsidP="00E839EC">
      <w:pPr>
        <w:spacing w:after="0" w:line="240" w:lineRule="auto"/>
      </w:pPr>
      <w:r>
        <w:separator/>
      </w:r>
    </w:p>
  </w:footnote>
  <w:footnote w:type="continuationSeparator" w:id="0">
    <w:p w14:paraId="3B1577E0" w14:textId="77777777" w:rsidR="00905A97" w:rsidRDefault="00905A97" w:rsidP="00E83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FBCA7" w14:textId="77777777" w:rsidR="00E839EC" w:rsidRDefault="00E839EC" w:rsidP="00E839EC">
    <w:pPr>
      <w:pStyle w:val="Encabezado"/>
      <w:tabs>
        <w:tab w:val="left" w:pos="825"/>
      </w:tabs>
    </w:pPr>
    <w:r>
      <w:rPr>
        <w:noProof/>
        <w:lang w:eastAsia="es-DO"/>
      </w:rPr>
      <w:drawing>
        <wp:anchor distT="0" distB="0" distL="114300" distR="114300" simplePos="0" relativeHeight="251659264" behindDoc="1" locked="0" layoutInCell="1" allowOverlap="1" wp14:anchorId="34FD0884" wp14:editId="6A3C8F09">
          <wp:simplePos x="0" y="0"/>
          <wp:positionH relativeFrom="column">
            <wp:posOffset>-1118235</wp:posOffset>
          </wp:positionH>
          <wp:positionV relativeFrom="paragraph">
            <wp:posOffset>-449580</wp:posOffset>
          </wp:positionV>
          <wp:extent cx="3857625" cy="1447800"/>
          <wp:effectExtent l="19050" t="0" r="0" b="0"/>
          <wp:wrapThrough wrapText="bothSides">
            <wp:wrapPolygon edited="0">
              <wp:start x="-107" y="0"/>
              <wp:lineTo x="-107" y="20463"/>
              <wp:lineTo x="213" y="20463"/>
              <wp:lineTo x="640" y="20463"/>
              <wp:lineTo x="5867" y="18474"/>
              <wp:lineTo x="5867" y="18189"/>
              <wp:lineTo x="6400" y="18189"/>
              <wp:lineTo x="8000" y="14779"/>
              <wp:lineTo x="8000" y="13642"/>
              <wp:lineTo x="21120" y="13358"/>
              <wp:lineTo x="21440" y="10232"/>
              <wp:lineTo x="17067" y="7674"/>
              <wp:lineTo x="12053" y="4547"/>
              <wp:lineTo x="12160" y="4547"/>
              <wp:lineTo x="18773" y="0"/>
              <wp:lineTo x="-107" y="0"/>
            </wp:wrapPolygon>
          </wp:wrapThrough>
          <wp:docPr id="1" name="Imagen 1"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 Reyes\Desktop\LOGO NUEVO SRSM\timbrado_Metropolitano.png"/>
                  <pic:cNvPicPr>
                    <a:picLocks noChangeAspect="1" noChangeArrowheads="1"/>
                  </pic:cNvPicPr>
                </pic:nvPicPr>
                <pic:blipFill rotWithShape="1">
                  <a:blip r:embed="rId1">
                    <a:extLst>
                      <a:ext uri="{28A0092B-C50C-407E-A947-70E740481C1C}">
                        <a14:useLocalDpi xmlns:a14="http://schemas.microsoft.com/office/drawing/2010/main" val="0"/>
                      </a:ext>
                    </a:extLst>
                  </a:blip>
                  <a:srcRect r="44281" b="83838"/>
                  <a:stretch/>
                </pic:blipFill>
                <pic:spPr bwMode="auto">
                  <a:xfrm>
                    <a:off x="0" y="0"/>
                    <a:ext cx="3857625" cy="144780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es-DO"/>
      </w:rPr>
      <w:drawing>
        <wp:anchor distT="0" distB="0" distL="114300" distR="114300" simplePos="0" relativeHeight="251660288" behindDoc="0" locked="0" layoutInCell="1" allowOverlap="1" wp14:anchorId="3048395E" wp14:editId="5DCD909B">
          <wp:simplePos x="0" y="0"/>
          <wp:positionH relativeFrom="column">
            <wp:posOffset>5334000</wp:posOffset>
          </wp:positionH>
          <wp:positionV relativeFrom="paragraph">
            <wp:posOffset>-314325</wp:posOffset>
          </wp:positionV>
          <wp:extent cx="1076325" cy="1152525"/>
          <wp:effectExtent l="19050" t="0" r="9525" b="0"/>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srcRect/>
                  <a:stretch>
                    <a:fillRect/>
                  </a:stretch>
                </pic:blipFill>
                <pic:spPr bwMode="auto">
                  <a:xfrm>
                    <a:off x="0" y="0"/>
                    <a:ext cx="1076325" cy="1152525"/>
                  </a:xfrm>
                  <a:prstGeom prst="rect">
                    <a:avLst/>
                  </a:prstGeom>
                  <a:noFill/>
                  <a:ln w="9525">
                    <a:noFill/>
                    <a:miter lim="800000"/>
                    <a:headEnd/>
                    <a:tailEnd/>
                  </a:ln>
                </pic:spPr>
              </pic:pic>
            </a:graphicData>
          </a:graphic>
        </wp:anchor>
      </w:drawing>
    </w:r>
    <w:r>
      <w:tab/>
    </w:r>
  </w:p>
  <w:p w14:paraId="40F53DF7" w14:textId="77777777" w:rsidR="00E839EC" w:rsidRDefault="00E839EC" w:rsidP="00E839EC">
    <w:pPr>
      <w:pStyle w:val="Encabezado"/>
    </w:pPr>
  </w:p>
  <w:p w14:paraId="1B570AC5" w14:textId="77777777" w:rsidR="00E839EC" w:rsidRPr="0023567C" w:rsidRDefault="00E839EC" w:rsidP="00E839EC">
    <w:pPr>
      <w:pStyle w:val="Encabezado"/>
    </w:pPr>
    <w:r w:rsidRPr="0023567C">
      <w:t xml:space="preserve">                                                  </w:t>
    </w:r>
  </w:p>
  <w:p w14:paraId="7544D977" w14:textId="77777777" w:rsidR="00E839EC" w:rsidRDefault="00E839EC" w:rsidP="00E839EC">
    <w:pPr>
      <w:pStyle w:val="msonospacing0"/>
      <w:jc w:val="center"/>
      <w:rPr>
        <w:color w:val="008000"/>
        <w:lang w:val="es-DO"/>
      </w:rPr>
    </w:pPr>
    <w:r w:rsidRPr="0023567C">
      <w:rPr>
        <w:color w:val="008000"/>
        <w:lang w:val="es-DO"/>
      </w:rPr>
      <w:t>Centro Cardio-Neuro Oftalmológico y Trasplante</w:t>
    </w:r>
  </w:p>
  <w:p w14:paraId="6D57A962" w14:textId="77777777" w:rsidR="00E839EC" w:rsidRPr="0023567C" w:rsidRDefault="00E839EC" w:rsidP="00E839EC">
    <w:pPr>
      <w:pStyle w:val="msonospacing0"/>
      <w:ind w:left="2832"/>
      <w:rPr>
        <w:lang w:val="es-DO"/>
      </w:rPr>
    </w:pPr>
    <w:r w:rsidRPr="0023567C">
      <w:rPr>
        <w:lang w:val="es-DO"/>
      </w:rPr>
      <w:t>Ciudad Sanitaria Dr. Luís E. Aybar</w:t>
    </w:r>
  </w:p>
  <w:p w14:paraId="5709F7E1" w14:textId="77777777" w:rsidR="00E839EC" w:rsidRPr="0023567C" w:rsidRDefault="00E839EC" w:rsidP="00E839EC">
    <w:pPr>
      <w:pStyle w:val="msonospacing0"/>
      <w:rPr>
        <w:lang w:val="es-DO"/>
      </w:rPr>
    </w:pPr>
    <w:r>
      <w:rPr>
        <w:lang w:val="es-DO"/>
      </w:rPr>
      <w:t xml:space="preserve">                                                                         </w:t>
    </w:r>
    <w:r w:rsidRPr="0023567C">
      <w:rPr>
        <w:lang w:val="es-DO"/>
      </w:rPr>
      <w:t>RNC  4-3006345-2</w:t>
    </w:r>
  </w:p>
  <w:p w14:paraId="34776681" w14:textId="77777777" w:rsidR="00E839EC" w:rsidRPr="0023567C" w:rsidRDefault="00E839EC" w:rsidP="00E839EC">
    <w:pPr>
      <w:pStyle w:val="Encabezado"/>
      <w:jc w:val="center"/>
      <w:rPr>
        <w:rFonts w:ascii="Calibri" w:eastAsia="Calibri" w:hAnsi="Calibri" w:cs="Times New Roman"/>
        <w:b/>
      </w:rPr>
    </w:pPr>
    <w:r w:rsidRPr="0023567C">
      <w:rPr>
        <w:rFonts w:ascii="Calibri" w:eastAsia="Calibri" w:hAnsi="Calibri" w:cs="Times New Roman"/>
        <w:b/>
      </w:rPr>
      <w:t>“Año de</w:t>
    </w:r>
    <w:r>
      <w:rPr>
        <w:rFonts w:ascii="Calibri" w:eastAsia="Calibri" w:hAnsi="Calibri" w:cs="Times New Roman"/>
        <w:b/>
      </w:rPr>
      <w:t xml:space="preserve"> </w:t>
    </w:r>
    <w:r w:rsidR="00C12D00" w:rsidRPr="0023567C">
      <w:rPr>
        <w:rFonts w:ascii="Calibri" w:eastAsia="Calibri" w:hAnsi="Calibri" w:cs="Times New Roman"/>
        <w:b/>
      </w:rPr>
      <w:t>l</w:t>
    </w:r>
    <w:r w:rsidR="00C12D00">
      <w:rPr>
        <w:rFonts w:ascii="Calibri" w:eastAsia="Calibri" w:hAnsi="Calibri" w:cs="Times New Roman"/>
        <w:b/>
      </w:rPr>
      <w:t>a</w:t>
    </w:r>
    <w:r w:rsidR="002B60F6">
      <w:rPr>
        <w:rFonts w:ascii="Calibri" w:eastAsia="Calibri" w:hAnsi="Calibri" w:cs="Times New Roman"/>
        <w:b/>
      </w:rPr>
      <w:t xml:space="preserve"> consolidación de la seguridad alimentaria</w:t>
    </w:r>
    <w:r w:rsidRPr="0023567C">
      <w:rPr>
        <w:rFonts w:ascii="Calibri" w:eastAsia="Calibri" w:hAnsi="Calibri" w:cs="Times New Roman"/>
        <w:b/>
      </w:rPr>
      <w:t>”</w:t>
    </w:r>
  </w:p>
  <w:p w14:paraId="63A42EB0" w14:textId="77777777" w:rsidR="00E839EC" w:rsidRDefault="00E839E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F42DD"/>
    <w:multiLevelType w:val="hybridMultilevel"/>
    <w:tmpl w:val="C7442238"/>
    <w:lvl w:ilvl="0" w:tplc="1C0A0001">
      <w:start w:val="1"/>
      <w:numFmt w:val="bullet"/>
      <w:lvlText w:val=""/>
      <w:lvlJc w:val="left"/>
      <w:pPr>
        <w:ind w:left="1080" w:hanging="360"/>
      </w:pPr>
      <w:rPr>
        <w:rFonts w:ascii="Symbol" w:hAnsi="Symbol" w:hint="default"/>
      </w:rPr>
    </w:lvl>
    <w:lvl w:ilvl="1" w:tplc="1C0A0003" w:tentative="1">
      <w:start w:val="1"/>
      <w:numFmt w:val="bullet"/>
      <w:lvlText w:val="o"/>
      <w:lvlJc w:val="left"/>
      <w:pPr>
        <w:ind w:left="1800" w:hanging="360"/>
      </w:pPr>
      <w:rPr>
        <w:rFonts w:ascii="Courier New" w:hAnsi="Courier New" w:cs="Courier New" w:hint="default"/>
      </w:rPr>
    </w:lvl>
    <w:lvl w:ilvl="2" w:tplc="1C0A0005" w:tentative="1">
      <w:start w:val="1"/>
      <w:numFmt w:val="bullet"/>
      <w:lvlText w:val=""/>
      <w:lvlJc w:val="left"/>
      <w:pPr>
        <w:ind w:left="2520" w:hanging="360"/>
      </w:pPr>
      <w:rPr>
        <w:rFonts w:ascii="Wingdings" w:hAnsi="Wingdings" w:hint="default"/>
      </w:rPr>
    </w:lvl>
    <w:lvl w:ilvl="3" w:tplc="1C0A0001" w:tentative="1">
      <w:start w:val="1"/>
      <w:numFmt w:val="bullet"/>
      <w:lvlText w:val=""/>
      <w:lvlJc w:val="left"/>
      <w:pPr>
        <w:ind w:left="3240" w:hanging="360"/>
      </w:pPr>
      <w:rPr>
        <w:rFonts w:ascii="Symbol" w:hAnsi="Symbol" w:hint="default"/>
      </w:rPr>
    </w:lvl>
    <w:lvl w:ilvl="4" w:tplc="1C0A0003" w:tentative="1">
      <w:start w:val="1"/>
      <w:numFmt w:val="bullet"/>
      <w:lvlText w:val="o"/>
      <w:lvlJc w:val="left"/>
      <w:pPr>
        <w:ind w:left="3960" w:hanging="360"/>
      </w:pPr>
      <w:rPr>
        <w:rFonts w:ascii="Courier New" w:hAnsi="Courier New" w:cs="Courier New" w:hint="default"/>
      </w:rPr>
    </w:lvl>
    <w:lvl w:ilvl="5" w:tplc="1C0A0005" w:tentative="1">
      <w:start w:val="1"/>
      <w:numFmt w:val="bullet"/>
      <w:lvlText w:val=""/>
      <w:lvlJc w:val="left"/>
      <w:pPr>
        <w:ind w:left="4680" w:hanging="360"/>
      </w:pPr>
      <w:rPr>
        <w:rFonts w:ascii="Wingdings" w:hAnsi="Wingdings" w:hint="default"/>
      </w:rPr>
    </w:lvl>
    <w:lvl w:ilvl="6" w:tplc="1C0A0001" w:tentative="1">
      <w:start w:val="1"/>
      <w:numFmt w:val="bullet"/>
      <w:lvlText w:val=""/>
      <w:lvlJc w:val="left"/>
      <w:pPr>
        <w:ind w:left="5400" w:hanging="360"/>
      </w:pPr>
      <w:rPr>
        <w:rFonts w:ascii="Symbol" w:hAnsi="Symbol" w:hint="default"/>
      </w:rPr>
    </w:lvl>
    <w:lvl w:ilvl="7" w:tplc="1C0A0003" w:tentative="1">
      <w:start w:val="1"/>
      <w:numFmt w:val="bullet"/>
      <w:lvlText w:val="o"/>
      <w:lvlJc w:val="left"/>
      <w:pPr>
        <w:ind w:left="6120" w:hanging="360"/>
      </w:pPr>
      <w:rPr>
        <w:rFonts w:ascii="Courier New" w:hAnsi="Courier New" w:cs="Courier New" w:hint="default"/>
      </w:rPr>
    </w:lvl>
    <w:lvl w:ilvl="8" w:tplc="1C0A0005" w:tentative="1">
      <w:start w:val="1"/>
      <w:numFmt w:val="bullet"/>
      <w:lvlText w:val=""/>
      <w:lvlJc w:val="left"/>
      <w:pPr>
        <w:ind w:left="6840" w:hanging="360"/>
      </w:pPr>
      <w:rPr>
        <w:rFonts w:ascii="Wingdings" w:hAnsi="Wingdings" w:hint="default"/>
      </w:rPr>
    </w:lvl>
  </w:abstractNum>
  <w:abstractNum w:abstractNumId="1" w15:restartNumberingAfterBreak="0">
    <w:nsid w:val="29C518AD"/>
    <w:multiLevelType w:val="hybridMultilevel"/>
    <w:tmpl w:val="92CC3FDA"/>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 w15:restartNumberingAfterBreak="0">
    <w:nsid w:val="339D46BB"/>
    <w:multiLevelType w:val="hybridMultilevel"/>
    <w:tmpl w:val="148ED144"/>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15:restartNumberingAfterBreak="0">
    <w:nsid w:val="386B125B"/>
    <w:multiLevelType w:val="hybridMultilevel"/>
    <w:tmpl w:val="AE2434CC"/>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4"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52DA428F"/>
    <w:multiLevelType w:val="hybridMultilevel"/>
    <w:tmpl w:val="39E0AC82"/>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EC"/>
    <w:rsid w:val="00006494"/>
    <w:rsid w:val="00012280"/>
    <w:rsid w:val="000345AF"/>
    <w:rsid w:val="00036605"/>
    <w:rsid w:val="00047B63"/>
    <w:rsid w:val="00055054"/>
    <w:rsid w:val="00060429"/>
    <w:rsid w:val="000721BF"/>
    <w:rsid w:val="00084EB1"/>
    <w:rsid w:val="00092DAA"/>
    <w:rsid w:val="00096F4C"/>
    <w:rsid w:val="000A5F32"/>
    <w:rsid w:val="000B2965"/>
    <w:rsid w:val="000E2DCD"/>
    <w:rsid w:val="000E4602"/>
    <w:rsid w:val="000F1FAE"/>
    <w:rsid w:val="00111E18"/>
    <w:rsid w:val="0011312E"/>
    <w:rsid w:val="00122E83"/>
    <w:rsid w:val="001501BA"/>
    <w:rsid w:val="001510A6"/>
    <w:rsid w:val="0015331B"/>
    <w:rsid w:val="00157CAE"/>
    <w:rsid w:val="00173E0B"/>
    <w:rsid w:val="0017567F"/>
    <w:rsid w:val="00191BAE"/>
    <w:rsid w:val="00193941"/>
    <w:rsid w:val="001A2B1F"/>
    <w:rsid w:val="001B0C56"/>
    <w:rsid w:val="001B3ACD"/>
    <w:rsid w:val="001F6481"/>
    <w:rsid w:val="00242EA4"/>
    <w:rsid w:val="00260922"/>
    <w:rsid w:val="00263248"/>
    <w:rsid w:val="00271232"/>
    <w:rsid w:val="002724C4"/>
    <w:rsid w:val="00296EBA"/>
    <w:rsid w:val="002A1EE8"/>
    <w:rsid w:val="002B3AE8"/>
    <w:rsid w:val="002B60F6"/>
    <w:rsid w:val="002C2A94"/>
    <w:rsid w:val="002C51EF"/>
    <w:rsid w:val="002D303D"/>
    <w:rsid w:val="00303955"/>
    <w:rsid w:val="00306C46"/>
    <w:rsid w:val="003307B4"/>
    <w:rsid w:val="003621E9"/>
    <w:rsid w:val="00366E9E"/>
    <w:rsid w:val="00375BE6"/>
    <w:rsid w:val="003844FF"/>
    <w:rsid w:val="0038638F"/>
    <w:rsid w:val="003A0B4E"/>
    <w:rsid w:val="003A61CA"/>
    <w:rsid w:val="003D039E"/>
    <w:rsid w:val="003D691B"/>
    <w:rsid w:val="003E4F7A"/>
    <w:rsid w:val="00426ECC"/>
    <w:rsid w:val="00440880"/>
    <w:rsid w:val="0044469A"/>
    <w:rsid w:val="00447532"/>
    <w:rsid w:val="00456592"/>
    <w:rsid w:val="0047071A"/>
    <w:rsid w:val="004710AD"/>
    <w:rsid w:val="004866EA"/>
    <w:rsid w:val="004C003D"/>
    <w:rsid w:val="004D3F1B"/>
    <w:rsid w:val="004D7591"/>
    <w:rsid w:val="004F21AC"/>
    <w:rsid w:val="00500D3C"/>
    <w:rsid w:val="005064C4"/>
    <w:rsid w:val="00511E0E"/>
    <w:rsid w:val="005145F0"/>
    <w:rsid w:val="00524679"/>
    <w:rsid w:val="00524E62"/>
    <w:rsid w:val="00541A8D"/>
    <w:rsid w:val="00542F34"/>
    <w:rsid w:val="00544827"/>
    <w:rsid w:val="0055610E"/>
    <w:rsid w:val="005756A0"/>
    <w:rsid w:val="00577D3D"/>
    <w:rsid w:val="00583CE8"/>
    <w:rsid w:val="0058619C"/>
    <w:rsid w:val="005975B1"/>
    <w:rsid w:val="005A472D"/>
    <w:rsid w:val="005D7193"/>
    <w:rsid w:val="005D7217"/>
    <w:rsid w:val="005E66D5"/>
    <w:rsid w:val="00614100"/>
    <w:rsid w:val="00615AD1"/>
    <w:rsid w:val="006308FB"/>
    <w:rsid w:val="00631297"/>
    <w:rsid w:val="00635836"/>
    <w:rsid w:val="00644153"/>
    <w:rsid w:val="006457ED"/>
    <w:rsid w:val="00662CCD"/>
    <w:rsid w:val="006D0A69"/>
    <w:rsid w:val="006F603B"/>
    <w:rsid w:val="00703148"/>
    <w:rsid w:val="00711239"/>
    <w:rsid w:val="00715199"/>
    <w:rsid w:val="00715DB8"/>
    <w:rsid w:val="00742FAB"/>
    <w:rsid w:val="00751731"/>
    <w:rsid w:val="00756863"/>
    <w:rsid w:val="0076227D"/>
    <w:rsid w:val="00786E81"/>
    <w:rsid w:val="00787AFB"/>
    <w:rsid w:val="00790AA9"/>
    <w:rsid w:val="007A52EF"/>
    <w:rsid w:val="007B00B4"/>
    <w:rsid w:val="007C0FF3"/>
    <w:rsid w:val="007C16C7"/>
    <w:rsid w:val="007D22AD"/>
    <w:rsid w:val="007E508A"/>
    <w:rsid w:val="007F2104"/>
    <w:rsid w:val="00823AAB"/>
    <w:rsid w:val="00866FE3"/>
    <w:rsid w:val="00876FED"/>
    <w:rsid w:val="008805E7"/>
    <w:rsid w:val="0088776B"/>
    <w:rsid w:val="008941DC"/>
    <w:rsid w:val="008A6518"/>
    <w:rsid w:val="008C2660"/>
    <w:rsid w:val="008D46C3"/>
    <w:rsid w:val="008E3620"/>
    <w:rsid w:val="008F3340"/>
    <w:rsid w:val="008F50D2"/>
    <w:rsid w:val="008F5D87"/>
    <w:rsid w:val="009040FD"/>
    <w:rsid w:val="00905A97"/>
    <w:rsid w:val="0091170A"/>
    <w:rsid w:val="00941FEB"/>
    <w:rsid w:val="0095544B"/>
    <w:rsid w:val="00957F78"/>
    <w:rsid w:val="00981ECC"/>
    <w:rsid w:val="009C161E"/>
    <w:rsid w:val="009D16F4"/>
    <w:rsid w:val="009F6736"/>
    <w:rsid w:val="009F736D"/>
    <w:rsid w:val="00A1162A"/>
    <w:rsid w:val="00A15532"/>
    <w:rsid w:val="00A237EE"/>
    <w:rsid w:val="00A41FBD"/>
    <w:rsid w:val="00A4405B"/>
    <w:rsid w:val="00A55F5D"/>
    <w:rsid w:val="00A56C60"/>
    <w:rsid w:val="00A6143B"/>
    <w:rsid w:val="00A61462"/>
    <w:rsid w:val="00A64BBC"/>
    <w:rsid w:val="00A70BB7"/>
    <w:rsid w:val="00A751EE"/>
    <w:rsid w:val="00AA1D43"/>
    <w:rsid w:val="00AA2D52"/>
    <w:rsid w:val="00AA4536"/>
    <w:rsid w:val="00AB27E1"/>
    <w:rsid w:val="00AB4784"/>
    <w:rsid w:val="00AB7354"/>
    <w:rsid w:val="00AB774C"/>
    <w:rsid w:val="00AC34F9"/>
    <w:rsid w:val="00AD0C70"/>
    <w:rsid w:val="00AD1F1B"/>
    <w:rsid w:val="00B22A5B"/>
    <w:rsid w:val="00B24A80"/>
    <w:rsid w:val="00B428BC"/>
    <w:rsid w:val="00B4338E"/>
    <w:rsid w:val="00B53F32"/>
    <w:rsid w:val="00B60B5C"/>
    <w:rsid w:val="00B633E9"/>
    <w:rsid w:val="00B72312"/>
    <w:rsid w:val="00B72C6F"/>
    <w:rsid w:val="00B83962"/>
    <w:rsid w:val="00B87732"/>
    <w:rsid w:val="00B92137"/>
    <w:rsid w:val="00BA53D3"/>
    <w:rsid w:val="00BA6435"/>
    <w:rsid w:val="00BB6F28"/>
    <w:rsid w:val="00BB6F29"/>
    <w:rsid w:val="00BD6F1E"/>
    <w:rsid w:val="00BE6AE8"/>
    <w:rsid w:val="00C12D00"/>
    <w:rsid w:val="00C13F1D"/>
    <w:rsid w:val="00C2138C"/>
    <w:rsid w:val="00C22878"/>
    <w:rsid w:val="00C43F87"/>
    <w:rsid w:val="00C46B55"/>
    <w:rsid w:val="00C47E2F"/>
    <w:rsid w:val="00C504AA"/>
    <w:rsid w:val="00C56FFA"/>
    <w:rsid w:val="00C773E4"/>
    <w:rsid w:val="00C82055"/>
    <w:rsid w:val="00C87285"/>
    <w:rsid w:val="00C94C6F"/>
    <w:rsid w:val="00C97EBD"/>
    <w:rsid w:val="00CC184F"/>
    <w:rsid w:val="00CC2DAF"/>
    <w:rsid w:val="00CD3E8E"/>
    <w:rsid w:val="00CD5701"/>
    <w:rsid w:val="00CD7929"/>
    <w:rsid w:val="00CE5A6D"/>
    <w:rsid w:val="00CF6DD1"/>
    <w:rsid w:val="00D03C6E"/>
    <w:rsid w:val="00D1544F"/>
    <w:rsid w:val="00D2235E"/>
    <w:rsid w:val="00D23D21"/>
    <w:rsid w:val="00D25D90"/>
    <w:rsid w:val="00D34C29"/>
    <w:rsid w:val="00D712E3"/>
    <w:rsid w:val="00D732CF"/>
    <w:rsid w:val="00D82F80"/>
    <w:rsid w:val="00D8558E"/>
    <w:rsid w:val="00D85759"/>
    <w:rsid w:val="00DA02B2"/>
    <w:rsid w:val="00DE6850"/>
    <w:rsid w:val="00DE7679"/>
    <w:rsid w:val="00E10895"/>
    <w:rsid w:val="00E279FE"/>
    <w:rsid w:val="00E30E0C"/>
    <w:rsid w:val="00E31679"/>
    <w:rsid w:val="00E509EA"/>
    <w:rsid w:val="00E52797"/>
    <w:rsid w:val="00E54498"/>
    <w:rsid w:val="00E81682"/>
    <w:rsid w:val="00E82CBA"/>
    <w:rsid w:val="00E839EC"/>
    <w:rsid w:val="00EC24A4"/>
    <w:rsid w:val="00ED10D7"/>
    <w:rsid w:val="00EE2E3D"/>
    <w:rsid w:val="00EF37FC"/>
    <w:rsid w:val="00EF7186"/>
    <w:rsid w:val="00F315F3"/>
    <w:rsid w:val="00F3633E"/>
    <w:rsid w:val="00F56F7D"/>
    <w:rsid w:val="00F614CC"/>
    <w:rsid w:val="00F756C3"/>
    <w:rsid w:val="00FB2CCD"/>
    <w:rsid w:val="00FB7D81"/>
    <w:rsid w:val="00FE32AA"/>
    <w:rsid w:val="00FE6237"/>
    <w:rsid w:val="00FE7C75"/>
    <w:rsid w:val="00FF2E86"/>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85A8AF0"/>
  <w15:docId w15:val="{F6CB8788-C9E4-49A6-8A41-AB45CBA8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61E"/>
  </w:style>
  <w:style w:type="paragraph" w:styleId="Ttulo1">
    <w:name w:val="heading 1"/>
    <w:basedOn w:val="Normal"/>
    <w:next w:val="Normal"/>
    <w:link w:val="Ttulo1Car"/>
    <w:uiPriority w:val="9"/>
    <w:qFormat/>
    <w:rsid w:val="00AA453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AA453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AB735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39E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39EC"/>
  </w:style>
  <w:style w:type="paragraph" w:styleId="Piedepgina">
    <w:name w:val="footer"/>
    <w:basedOn w:val="Normal"/>
    <w:link w:val="PiedepginaCar"/>
    <w:uiPriority w:val="99"/>
    <w:unhideWhenUsed/>
    <w:rsid w:val="00E839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39EC"/>
  </w:style>
  <w:style w:type="paragraph" w:customStyle="1" w:styleId="msonospacing0">
    <w:name w:val="msonospacing"/>
    <w:rsid w:val="00E839EC"/>
    <w:pPr>
      <w:spacing w:after="0" w:line="240" w:lineRule="auto"/>
    </w:pPr>
    <w:rPr>
      <w:rFonts w:ascii="Calibri" w:eastAsia="Calibri" w:hAnsi="Calibri" w:cs="Times New Roman"/>
      <w:lang w:val="es-ES"/>
    </w:rPr>
  </w:style>
  <w:style w:type="table" w:styleId="Tablaconcuadrcula">
    <w:name w:val="Table Grid"/>
    <w:basedOn w:val="Tablanormal"/>
    <w:uiPriority w:val="59"/>
    <w:rsid w:val="00006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1B0C56"/>
    <w:rPr>
      <w:sz w:val="16"/>
      <w:szCs w:val="16"/>
    </w:rPr>
  </w:style>
  <w:style w:type="paragraph" w:styleId="Textocomentario">
    <w:name w:val="annotation text"/>
    <w:basedOn w:val="Normal"/>
    <w:link w:val="TextocomentarioCar"/>
    <w:uiPriority w:val="99"/>
    <w:semiHidden/>
    <w:unhideWhenUsed/>
    <w:rsid w:val="001B0C5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B0C56"/>
    <w:rPr>
      <w:sz w:val="20"/>
      <w:szCs w:val="20"/>
    </w:rPr>
  </w:style>
  <w:style w:type="paragraph" w:styleId="Asuntodelcomentario">
    <w:name w:val="annotation subject"/>
    <w:basedOn w:val="Textocomentario"/>
    <w:next w:val="Textocomentario"/>
    <w:link w:val="AsuntodelcomentarioCar"/>
    <w:uiPriority w:val="99"/>
    <w:semiHidden/>
    <w:unhideWhenUsed/>
    <w:rsid w:val="001B0C56"/>
    <w:rPr>
      <w:b/>
      <w:bCs/>
    </w:rPr>
  </w:style>
  <w:style w:type="character" w:customStyle="1" w:styleId="AsuntodelcomentarioCar">
    <w:name w:val="Asunto del comentario Car"/>
    <w:basedOn w:val="TextocomentarioCar"/>
    <w:link w:val="Asuntodelcomentario"/>
    <w:uiPriority w:val="99"/>
    <w:semiHidden/>
    <w:rsid w:val="001B0C56"/>
    <w:rPr>
      <w:b/>
      <w:bCs/>
      <w:sz w:val="20"/>
      <w:szCs w:val="20"/>
    </w:rPr>
  </w:style>
  <w:style w:type="paragraph" w:styleId="Textodeglobo">
    <w:name w:val="Balloon Text"/>
    <w:basedOn w:val="Normal"/>
    <w:link w:val="TextodegloboCar"/>
    <w:uiPriority w:val="99"/>
    <w:semiHidden/>
    <w:unhideWhenUsed/>
    <w:rsid w:val="001B0C5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B0C56"/>
    <w:rPr>
      <w:rFonts w:ascii="Segoe UI" w:hAnsi="Segoe UI" w:cs="Segoe UI"/>
      <w:sz w:val="18"/>
      <w:szCs w:val="18"/>
    </w:rPr>
  </w:style>
  <w:style w:type="character" w:customStyle="1" w:styleId="vortalspan">
    <w:name w:val="vortalspan"/>
    <w:basedOn w:val="Fuentedeprrafopredeter"/>
    <w:rsid w:val="007C16C7"/>
  </w:style>
  <w:style w:type="character" w:styleId="Hipervnculo">
    <w:name w:val="Hyperlink"/>
    <w:basedOn w:val="Fuentedeprrafopredeter"/>
    <w:uiPriority w:val="99"/>
    <w:semiHidden/>
    <w:unhideWhenUsed/>
    <w:rsid w:val="00E54498"/>
    <w:rPr>
      <w:color w:val="0000FF"/>
      <w:u w:val="single"/>
    </w:rPr>
  </w:style>
  <w:style w:type="paragraph" w:styleId="Sinespaciado">
    <w:name w:val="No Spacing"/>
    <w:uiPriority w:val="1"/>
    <w:qFormat/>
    <w:rsid w:val="00AA4536"/>
    <w:pPr>
      <w:spacing w:after="0" w:line="240" w:lineRule="auto"/>
    </w:pPr>
  </w:style>
  <w:style w:type="character" w:customStyle="1" w:styleId="Ttulo1Car">
    <w:name w:val="Título 1 Car"/>
    <w:basedOn w:val="Fuentedeprrafopredeter"/>
    <w:link w:val="Ttulo1"/>
    <w:uiPriority w:val="9"/>
    <w:rsid w:val="00AA4536"/>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uiPriority w:val="9"/>
    <w:rsid w:val="00AA4536"/>
    <w:rPr>
      <w:rFonts w:asciiTheme="majorHAnsi" w:eastAsiaTheme="majorEastAsia" w:hAnsiTheme="majorHAnsi" w:cstheme="majorBidi"/>
      <w:color w:val="365F91" w:themeColor="accent1" w:themeShade="BF"/>
      <w:sz w:val="26"/>
      <w:szCs w:val="26"/>
    </w:rPr>
  </w:style>
  <w:style w:type="paragraph" w:styleId="Prrafodelista">
    <w:name w:val="List Paragraph"/>
    <w:basedOn w:val="Normal"/>
    <w:uiPriority w:val="34"/>
    <w:qFormat/>
    <w:rsid w:val="00644153"/>
    <w:pPr>
      <w:ind w:left="720"/>
      <w:contextualSpacing/>
    </w:pPr>
  </w:style>
  <w:style w:type="character" w:customStyle="1" w:styleId="Ttulo3Car">
    <w:name w:val="Título 3 Car"/>
    <w:basedOn w:val="Fuentedeprrafopredeter"/>
    <w:link w:val="Ttulo3"/>
    <w:uiPriority w:val="9"/>
    <w:semiHidden/>
    <w:rsid w:val="00AB7354"/>
    <w:rPr>
      <w:rFonts w:asciiTheme="majorHAnsi" w:eastAsiaTheme="majorEastAsia" w:hAnsiTheme="majorHAnsi" w:cstheme="majorBidi"/>
      <w:color w:val="243F60" w:themeColor="accent1" w:themeShade="7F"/>
      <w:sz w:val="24"/>
      <w:szCs w:val="24"/>
    </w:rPr>
  </w:style>
  <w:style w:type="paragraph" w:styleId="Textoindependiente">
    <w:name w:val="Body Text"/>
    <w:basedOn w:val="Normal"/>
    <w:link w:val="TextoindependienteCar"/>
    <w:unhideWhenUsed/>
    <w:rsid w:val="00AB7354"/>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AB7354"/>
    <w:rPr>
      <w:rFonts w:ascii="Times New Roman" w:eastAsia="Times New Roman" w:hAnsi="Times New Roman" w:cs="Times New Roman"/>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18095">
      <w:bodyDiv w:val="1"/>
      <w:marLeft w:val="0"/>
      <w:marRight w:val="0"/>
      <w:marTop w:val="0"/>
      <w:marBottom w:val="0"/>
      <w:divBdr>
        <w:top w:val="none" w:sz="0" w:space="0" w:color="auto"/>
        <w:left w:val="none" w:sz="0" w:space="0" w:color="auto"/>
        <w:bottom w:val="none" w:sz="0" w:space="0" w:color="auto"/>
        <w:right w:val="none" w:sz="0" w:space="0" w:color="auto"/>
      </w:divBdr>
      <w:divsChild>
        <w:div w:id="708338906">
          <w:marLeft w:val="0"/>
          <w:marRight w:val="0"/>
          <w:marTop w:val="0"/>
          <w:marBottom w:val="0"/>
          <w:divBdr>
            <w:top w:val="none" w:sz="0" w:space="0" w:color="auto"/>
            <w:left w:val="none" w:sz="0" w:space="0" w:color="auto"/>
            <w:bottom w:val="none" w:sz="0" w:space="0" w:color="auto"/>
            <w:right w:val="none" w:sz="0" w:space="0" w:color="auto"/>
          </w:divBdr>
        </w:div>
      </w:divsChild>
    </w:div>
    <w:div w:id="802382684">
      <w:bodyDiv w:val="1"/>
      <w:marLeft w:val="0"/>
      <w:marRight w:val="0"/>
      <w:marTop w:val="0"/>
      <w:marBottom w:val="0"/>
      <w:divBdr>
        <w:top w:val="none" w:sz="0" w:space="0" w:color="auto"/>
        <w:left w:val="none" w:sz="0" w:space="0" w:color="auto"/>
        <w:bottom w:val="none" w:sz="0" w:space="0" w:color="auto"/>
        <w:right w:val="none" w:sz="0" w:space="0" w:color="auto"/>
      </w:divBdr>
    </w:div>
    <w:div w:id="1318534999">
      <w:bodyDiv w:val="1"/>
      <w:marLeft w:val="0"/>
      <w:marRight w:val="0"/>
      <w:marTop w:val="0"/>
      <w:marBottom w:val="0"/>
      <w:divBdr>
        <w:top w:val="none" w:sz="0" w:space="0" w:color="auto"/>
        <w:left w:val="none" w:sz="0" w:space="0" w:color="auto"/>
        <w:bottom w:val="none" w:sz="0" w:space="0" w:color="auto"/>
        <w:right w:val="none" w:sz="0" w:space="0" w:color="auto"/>
      </w:divBdr>
    </w:div>
    <w:div w:id="1652753261">
      <w:bodyDiv w:val="1"/>
      <w:marLeft w:val="0"/>
      <w:marRight w:val="0"/>
      <w:marTop w:val="0"/>
      <w:marBottom w:val="0"/>
      <w:divBdr>
        <w:top w:val="none" w:sz="0" w:space="0" w:color="auto"/>
        <w:left w:val="none" w:sz="0" w:space="0" w:color="auto"/>
        <w:bottom w:val="none" w:sz="0" w:space="0" w:color="auto"/>
        <w:right w:val="none" w:sz="0" w:space="0" w:color="auto"/>
      </w:divBdr>
    </w:div>
    <w:div w:id="1780299465">
      <w:bodyDiv w:val="1"/>
      <w:marLeft w:val="0"/>
      <w:marRight w:val="0"/>
      <w:marTop w:val="0"/>
      <w:marBottom w:val="0"/>
      <w:divBdr>
        <w:top w:val="none" w:sz="0" w:space="0" w:color="auto"/>
        <w:left w:val="none" w:sz="0" w:space="0" w:color="auto"/>
        <w:bottom w:val="none" w:sz="0" w:space="0" w:color="auto"/>
        <w:right w:val="none" w:sz="0" w:space="0" w:color="auto"/>
      </w:divBdr>
    </w:div>
    <w:div w:id="1874881709">
      <w:bodyDiv w:val="1"/>
      <w:marLeft w:val="0"/>
      <w:marRight w:val="0"/>
      <w:marTop w:val="0"/>
      <w:marBottom w:val="0"/>
      <w:divBdr>
        <w:top w:val="none" w:sz="0" w:space="0" w:color="auto"/>
        <w:left w:val="none" w:sz="0" w:space="0" w:color="auto"/>
        <w:bottom w:val="none" w:sz="0" w:space="0" w:color="auto"/>
        <w:right w:val="none" w:sz="0" w:space="0" w:color="auto"/>
      </w:divBdr>
      <w:divsChild>
        <w:div w:id="1957364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mpras@cecanot.com.d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9FD97-219E-4CCE-A9AB-E6494796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1459</Words>
  <Characters>8026</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priscila.diaz</dc:creator>
  <cp:keywords/>
  <dc:description/>
  <cp:lastModifiedBy>Glennys Ceballos</cp:lastModifiedBy>
  <cp:revision>2</cp:revision>
  <cp:lastPrinted>2020-05-06T14:59:00Z</cp:lastPrinted>
  <dcterms:created xsi:type="dcterms:W3CDTF">2020-08-21T16:49:00Z</dcterms:created>
  <dcterms:modified xsi:type="dcterms:W3CDTF">2020-08-21T16:49:00Z</dcterms:modified>
</cp:coreProperties>
</file>